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1B2D4" w14:textId="09475D74" w:rsidR="00D752E2" w:rsidRPr="00841BCD" w:rsidRDefault="00D752E2" w:rsidP="00D752E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#9</w:t>
      </w:r>
      <w:r w:rsidR="00A10FBD">
        <w:rPr>
          <w:rFonts w:ascii="Arial" w:eastAsia="宋体" w:hAnsi="Arial" w:cs="Times New Roman"/>
          <w:b/>
          <w:sz w:val="24"/>
          <w:szCs w:val="20"/>
          <w:lang w:val="en-GB"/>
        </w:rPr>
        <w:t>2</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3B4C89">
        <w:rPr>
          <w:rFonts w:ascii="Arial" w:eastAsia="宋体" w:hAnsi="Arial" w:cs="Times New Roman"/>
          <w:b/>
          <w:bCs/>
          <w:sz w:val="24"/>
          <w:szCs w:val="20"/>
          <w:lang w:val="en-GB" w:eastAsia="ja-JP"/>
        </w:rPr>
        <w:t>R4-</w:t>
      </w:r>
      <w:r w:rsidR="00044CB4" w:rsidRPr="003B4C89">
        <w:rPr>
          <w:rFonts w:ascii="Arial" w:eastAsia="宋体" w:hAnsi="Arial" w:cs="Times New Roman"/>
          <w:b/>
          <w:bCs/>
          <w:sz w:val="24"/>
          <w:szCs w:val="20"/>
          <w:lang w:val="en-GB" w:eastAsia="ja-JP"/>
        </w:rPr>
        <w:t>19</w:t>
      </w:r>
      <w:r w:rsidR="00044CB4">
        <w:rPr>
          <w:rFonts w:ascii="Arial" w:eastAsia="宋体" w:hAnsi="Arial" w:cs="Times New Roman"/>
          <w:b/>
          <w:bCs/>
          <w:sz w:val="24"/>
          <w:szCs w:val="20"/>
          <w:lang w:val="en-GB" w:eastAsia="ja-JP"/>
        </w:rPr>
        <w:t>08921</w:t>
      </w:r>
    </w:p>
    <w:p w14:paraId="1C965EBC" w14:textId="22CD1700" w:rsidR="00D752E2" w:rsidRPr="00841BCD" w:rsidRDefault="00A10FBD" w:rsidP="00D752E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Ljubljana</w:t>
      </w:r>
      <w:r w:rsidR="00D752E2">
        <w:rPr>
          <w:rFonts w:ascii="Arial" w:eastAsia="宋体" w:hAnsi="Arial" w:cs="Times New Roman"/>
          <w:b/>
          <w:sz w:val="24"/>
          <w:szCs w:val="20"/>
          <w:lang w:val="en-GB"/>
        </w:rPr>
        <w:t xml:space="preserve">, </w:t>
      </w:r>
      <w:r>
        <w:rPr>
          <w:rFonts w:ascii="Arial" w:eastAsia="宋体" w:hAnsi="Arial" w:cs="Times New Roman"/>
          <w:b/>
          <w:sz w:val="24"/>
          <w:szCs w:val="20"/>
          <w:lang w:val="en-GB"/>
        </w:rPr>
        <w:t>Slovenia</w:t>
      </w:r>
      <w:r w:rsidR="00D752E2">
        <w:rPr>
          <w:rFonts w:ascii="Arial" w:eastAsia="宋体" w:hAnsi="Arial" w:cs="Times New Roman"/>
          <w:b/>
          <w:sz w:val="24"/>
          <w:szCs w:val="20"/>
          <w:lang w:val="en-GB"/>
        </w:rPr>
        <w:t xml:space="preserve">, </w:t>
      </w:r>
      <w:r>
        <w:rPr>
          <w:rFonts w:ascii="Arial" w:eastAsia="宋体" w:hAnsi="Arial" w:cs="Times New Roman"/>
          <w:b/>
          <w:sz w:val="24"/>
          <w:szCs w:val="20"/>
          <w:lang w:val="en-GB"/>
        </w:rPr>
        <w:t>26</w:t>
      </w:r>
      <w:r w:rsidR="00D752E2">
        <w:rPr>
          <w:rFonts w:ascii="Arial" w:eastAsia="宋体" w:hAnsi="Arial" w:cs="Times New Roman"/>
          <w:b/>
          <w:sz w:val="24"/>
          <w:szCs w:val="20"/>
          <w:lang w:val="en-GB"/>
        </w:rPr>
        <w:t xml:space="preserve"> – </w:t>
      </w:r>
      <w:r>
        <w:rPr>
          <w:rFonts w:ascii="Arial" w:eastAsia="宋体" w:hAnsi="Arial" w:cs="Times New Roman"/>
          <w:b/>
          <w:sz w:val="24"/>
          <w:szCs w:val="20"/>
          <w:lang w:val="en-GB"/>
        </w:rPr>
        <w:t>30</w:t>
      </w:r>
      <w:r w:rsidR="00D752E2">
        <w:rPr>
          <w:rFonts w:ascii="Arial" w:eastAsia="宋体" w:hAnsi="Arial" w:cs="Times New Roman"/>
          <w:b/>
          <w:sz w:val="24"/>
          <w:szCs w:val="20"/>
          <w:lang w:val="en-GB"/>
        </w:rPr>
        <w:t xml:space="preserve"> </w:t>
      </w:r>
      <w:r>
        <w:rPr>
          <w:rFonts w:ascii="Arial" w:eastAsia="宋体" w:hAnsi="Arial" w:cs="Times New Roman"/>
          <w:b/>
          <w:sz w:val="24"/>
          <w:szCs w:val="20"/>
          <w:lang w:val="en-GB"/>
        </w:rPr>
        <w:t>August</w:t>
      </w:r>
      <w:r w:rsidR="00D752E2">
        <w:rPr>
          <w:rFonts w:ascii="Arial" w:eastAsia="宋体" w:hAnsi="Arial" w:cs="Times New Roman"/>
          <w:b/>
          <w:sz w:val="24"/>
          <w:szCs w:val="20"/>
          <w:lang w:val="en-GB"/>
        </w:rPr>
        <w:t xml:space="preserve"> 2019</w:t>
      </w:r>
    </w:p>
    <w:bookmarkEnd w:id="0"/>
    <w:bookmarkEnd w:id="1"/>
    <w:p w14:paraId="4FBD258B" w14:textId="77777777" w:rsidR="00D752E2" w:rsidRPr="00841BCD" w:rsidRDefault="00D752E2" w:rsidP="00D752E2">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265617C5" w14:textId="77777777" w:rsidR="00D752E2" w:rsidRPr="00841BCD" w:rsidRDefault="00D752E2" w:rsidP="00D752E2">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FDAA4FA" w14:textId="7F0D6072" w:rsidR="00D752E2" w:rsidRPr="00841BCD" w:rsidRDefault="00D752E2" w:rsidP="00D752E2">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3172F">
        <w:rPr>
          <w:rFonts w:ascii="Arial" w:eastAsia="Calibri" w:hAnsi="Arial" w:cs="Arial"/>
          <w:b/>
          <w:bCs/>
          <w:sz w:val="24"/>
          <w:lang w:val="en-GB"/>
        </w:rPr>
        <w:t>T_de</w:t>
      </w:r>
      <w:r w:rsidR="005E0895">
        <w:rPr>
          <w:rFonts w:ascii="Arial" w:eastAsia="Calibri" w:hAnsi="Arial" w:cs="Arial"/>
          <w:b/>
          <w:bCs/>
          <w:sz w:val="24"/>
          <w:lang w:val="en-GB"/>
        </w:rPr>
        <w:t>lta definition</w:t>
      </w:r>
    </w:p>
    <w:p w14:paraId="11F7DE72" w14:textId="7C355E62" w:rsidR="00D752E2" w:rsidRPr="00841BCD" w:rsidRDefault="00D752E2" w:rsidP="00D752E2">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44CB4">
        <w:rPr>
          <w:rFonts w:ascii="Arial" w:eastAsia="MS Mincho" w:hAnsi="Arial" w:cs="Arial"/>
          <w:b/>
          <w:bCs/>
          <w:sz w:val="24"/>
          <w:szCs w:val="20"/>
          <w:lang w:val="en-GB"/>
        </w:rPr>
        <w:t>9.5.4</w:t>
      </w:r>
    </w:p>
    <w:p w14:paraId="6D1D63CC" w14:textId="77777777" w:rsidR="00D752E2" w:rsidRPr="00841BCD" w:rsidRDefault="00D752E2" w:rsidP="00D752E2">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1B8A85A5" w14:textId="77777777" w:rsidR="00D752E2" w:rsidRDefault="00D752E2" w:rsidP="00D752E2">
      <w:pPr>
        <w:pStyle w:val="RAN4H1"/>
      </w:pPr>
      <w:r w:rsidRPr="00AE56B1">
        <w:t>Intro</w:t>
      </w:r>
      <w:r w:rsidRPr="00AE56B1">
        <w:rPr>
          <w:rStyle w:val="RAN4H1Char"/>
        </w:rPr>
        <w:t>ductio</w:t>
      </w:r>
      <w:r w:rsidRPr="00AE56B1">
        <w:t>n</w:t>
      </w:r>
    </w:p>
    <w:p w14:paraId="084A76AE" w14:textId="0A076D53" w:rsidR="005E0895" w:rsidRPr="005C23A4" w:rsidRDefault="005E0895" w:rsidP="00D752E2">
      <w:pPr>
        <w:rPr>
          <w:lang w:val="en-GB"/>
        </w:rPr>
      </w:pPr>
      <w:r>
        <w:rPr>
          <w:lang w:val="en-GB"/>
        </w:rPr>
        <w:t>In RAN4#91 there were three options under discussion for the definition of T_delta</w:t>
      </w:r>
      <w:r w:rsidR="0036179F">
        <w:rPr>
          <w:lang w:val="en-GB"/>
        </w:rPr>
        <w:t xml:space="preserve"> </w:t>
      </w:r>
      <w:r w:rsidR="0036179F">
        <w:rPr>
          <w:lang w:val="en-GB"/>
        </w:rPr>
        <w:fldChar w:fldCharType="begin"/>
      </w:r>
      <w:r w:rsidR="0036179F">
        <w:rPr>
          <w:lang w:val="en-GB"/>
        </w:rPr>
        <w:instrText xml:space="preserve"> REF _Ref11912873 \r \h </w:instrText>
      </w:r>
      <w:r w:rsidR="0036179F">
        <w:rPr>
          <w:lang w:val="en-GB"/>
        </w:rPr>
      </w:r>
      <w:r w:rsidR="0036179F">
        <w:rPr>
          <w:lang w:val="en-GB"/>
        </w:rPr>
        <w:fldChar w:fldCharType="separate"/>
      </w:r>
      <w:r w:rsidR="0036179F">
        <w:rPr>
          <w:lang w:val="en-GB"/>
        </w:rPr>
        <w:t>[1]</w:t>
      </w:r>
      <w:r w:rsidR="0036179F">
        <w:rPr>
          <w:lang w:val="en-GB"/>
        </w:rPr>
        <w:fldChar w:fldCharType="end"/>
      </w:r>
      <w:r>
        <w:rPr>
          <w:lang w:val="en-GB"/>
        </w:rPr>
        <w:t>. Two of those were in the initial LS</w:t>
      </w:r>
      <w:r w:rsidR="0036179F">
        <w:rPr>
          <w:lang w:val="en-GB"/>
        </w:rPr>
        <w:t xml:space="preserve"> </w:t>
      </w:r>
      <w:r w:rsidR="0036179F">
        <w:rPr>
          <w:lang w:val="en-GB"/>
        </w:rPr>
        <w:fldChar w:fldCharType="begin"/>
      </w:r>
      <w:r w:rsidR="0036179F">
        <w:rPr>
          <w:lang w:val="en-GB"/>
        </w:rPr>
        <w:instrText xml:space="preserve"> REF _Ref11912893 \r \h </w:instrText>
      </w:r>
      <w:r w:rsidR="0036179F">
        <w:rPr>
          <w:lang w:val="en-GB"/>
        </w:rPr>
      </w:r>
      <w:r w:rsidR="0036179F">
        <w:rPr>
          <w:lang w:val="en-GB"/>
        </w:rPr>
        <w:fldChar w:fldCharType="separate"/>
      </w:r>
      <w:r w:rsidR="0036179F">
        <w:rPr>
          <w:lang w:val="en-GB"/>
        </w:rPr>
        <w:t>[2]</w:t>
      </w:r>
      <w:r w:rsidR="0036179F">
        <w:rPr>
          <w:lang w:val="en-GB"/>
        </w:rPr>
        <w:fldChar w:fldCharType="end"/>
      </w:r>
      <w:r>
        <w:rPr>
          <w:lang w:val="en-GB"/>
        </w:rPr>
        <w:t xml:space="preserve"> and the clarification LS </w:t>
      </w:r>
      <w:r w:rsidR="0036179F">
        <w:rPr>
          <w:lang w:val="en-GB"/>
        </w:rPr>
        <w:fldChar w:fldCharType="begin"/>
      </w:r>
      <w:r w:rsidR="0036179F">
        <w:rPr>
          <w:lang w:val="en-GB"/>
        </w:rPr>
        <w:instrText xml:space="preserve"> REF _Ref11912913 \r \h </w:instrText>
      </w:r>
      <w:r w:rsidR="0036179F">
        <w:rPr>
          <w:lang w:val="en-GB"/>
        </w:rPr>
      </w:r>
      <w:r w:rsidR="0036179F">
        <w:rPr>
          <w:lang w:val="en-GB"/>
        </w:rPr>
        <w:fldChar w:fldCharType="separate"/>
      </w:r>
      <w:r w:rsidR="0036179F">
        <w:rPr>
          <w:lang w:val="en-GB"/>
        </w:rPr>
        <w:t>[3]</w:t>
      </w:r>
      <w:r w:rsidR="0036179F">
        <w:rPr>
          <w:lang w:val="en-GB"/>
        </w:rPr>
        <w:fldChar w:fldCharType="end"/>
      </w:r>
      <w:r w:rsidR="0036179F">
        <w:rPr>
          <w:lang w:val="en-GB"/>
        </w:rPr>
        <w:t xml:space="preserve"> </w:t>
      </w:r>
      <w:r>
        <w:rPr>
          <w:lang w:val="en-GB"/>
        </w:rPr>
        <w:t>from RAN1.</w:t>
      </w:r>
      <w:r w:rsidR="006C3007">
        <w:rPr>
          <w:lang w:val="en-GB"/>
        </w:rPr>
        <w:t xml:space="preserve"> The definition of T_delta </w:t>
      </w:r>
      <w:r w:rsidR="00F068D5">
        <w:rPr>
          <w:lang w:val="en-GB"/>
        </w:rPr>
        <w:t xml:space="preserve">could affect </w:t>
      </w:r>
      <w:r w:rsidR="006C3007">
        <w:rPr>
          <w:lang w:val="en-GB"/>
        </w:rPr>
        <w:t>the range and granularity of the T_delta value and therefore the definition needs to be decided first. In this contribution we are elaborating the options and what can be the way forward.</w:t>
      </w:r>
    </w:p>
    <w:p w14:paraId="2435E7CA" w14:textId="77777777" w:rsidR="00D752E2" w:rsidRDefault="00D752E2" w:rsidP="00D752E2">
      <w:pPr>
        <w:pStyle w:val="RAN4H1"/>
      </w:pPr>
      <w:r w:rsidRPr="00AE56B1">
        <w:t>Discussion</w:t>
      </w:r>
    </w:p>
    <w:p w14:paraId="210619AA" w14:textId="144399EC" w:rsidR="00A10FBD" w:rsidRDefault="006C3007" w:rsidP="00D752E2">
      <w:pPr>
        <w:rPr>
          <w:lang w:val="en-GB"/>
        </w:rPr>
      </w:pPr>
      <w:r>
        <w:rPr>
          <w:lang w:val="en-GB"/>
        </w:rPr>
        <w:t>The option discussed in RAN4#91 were following:</w:t>
      </w:r>
    </w:p>
    <w:p w14:paraId="0074A803" w14:textId="76FAB9D0" w:rsidR="006C3007" w:rsidRDefault="006C3007" w:rsidP="00F64932">
      <w:pPr>
        <w:spacing w:after="60"/>
        <w:ind w:left="720"/>
        <w:rPr>
          <w:lang w:val="en-GB"/>
        </w:rPr>
      </w:pPr>
      <w:r>
        <w:rPr>
          <w:lang w:val="en-GB"/>
        </w:rPr>
        <w:t>Opt.1:</w:t>
      </w:r>
      <w:r>
        <w:rPr>
          <w:lang w:val="en-GB"/>
        </w:rPr>
        <w:tab/>
      </w:r>
      <w:r w:rsidRPr="006C3007">
        <w:rPr>
          <w:lang w:val="en-GB"/>
        </w:rPr>
        <w:t>T_delta = -</w:t>
      </w:r>
      <w:r w:rsidR="00F64932">
        <w:rPr>
          <w:lang w:val="en-GB"/>
        </w:rPr>
        <w:t xml:space="preserve"> </w:t>
      </w:r>
      <w:r w:rsidRPr="006C3007">
        <w:rPr>
          <w:lang w:val="en-GB"/>
        </w:rPr>
        <w:t>(Tg – N</w:t>
      </w:r>
      <w:r w:rsidRPr="0080762E">
        <w:rPr>
          <w:vertAlign w:val="subscript"/>
          <w:lang w:val="en-GB"/>
        </w:rPr>
        <w:t>TA_offset</w:t>
      </w:r>
      <w:r w:rsidR="00F64932">
        <w:rPr>
          <w:lang w:val="en-GB"/>
        </w:rPr>
        <w:t xml:space="preserve"> * </w:t>
      </w:r>
      <w:r w:rsidRPr="006C3007">
        <w:rPr>
          <w:lang w:val="en-GB"/>
        </w:rPr>
        <w:t>Tc)/2</w:t>
      </w:r>
      <w:r>
        <w:rPr>
          <w:lang w:val="en-GB"/>
        </w:rPr>
        <w:t xml:space="preserve">; </w:t>
      </w:r>
      <w:r>
        <w:rPr>
          <w:lang w:val="en-GB"/>
        </w:rPr>
        <w:fldChar w:fldCharType="begin"/>
      </w:r>
      <w:r>
        <w:rPr>
          <w:lang w:val="en-GB"/>
        </w:rPr>
        <w:instrText xml:space="preserve"> REF _Ref11912893 \r \h </w:instrText>
      </w:r>
      <w:r>
        <w:rPr>
          <w:lang w:val="en-GB"/>
        </w:rPr>
      </w:r>
      <w:r>
        <w:rPr>
          <w:lang w:val="en-GB"/>
        </w:rPr>
        <w:fldChar w:fldCharType="separate"/>
      </w:r>
      <w:r>
        <w:rPr>
          <w:lang w:val="en-GB"/>
        </w:rPr>
        <w:t>[2]</w:t>
      </w:r>
      <w:r>
        <w:rPr>
          <w:lang w:val="en-GB"/>
        </w:rPr>
        <w:fldChar w:fldCharType="end"/>
      </w:r>
    </w:p>
    <w:p w14:paraId="1884DC94" w14:textId="396D18EA" w:rsidR="006C3007" w:rsidRDefault="006C3007" w:rsidP="00F64932">
      <w:pPr>
        <w:spacing w:after="60"/>
        <w:ind w:left="720"/>
        <w:rPr>
          <w:lang w:val="en-GB"/>
        </w:rPr>
      </w:pPr>
      <w:r>
        <w:rPr>
          <w:lang w:val="en-GB"/>
        </w:rPr>
        <w:t>Opt.2:</w:t>
      </w:r>
      <w:r>
        <w:rPr>
          <w:lang w:val="en-GB"/>
        </w:rPr>
        <w:tab/>
      </w:r>
      <w:r w:rsidRPr="006C3007">
        <w:rPr>
          <w:lang w:val="en-GB"/>
        </w:rPr>
        <w:t>T_delta = -</w:t>
      </w:r>
      <w:r w:rsidR="00F64932">
        <w:rPr>
          <w:lang w:val="en-GB"/>
        </w:rPr>
        <w:t xml:space="preserve"> </w:t>
      </w:r>
      <w:r w:rsidRPr="006C3007">
        <w:rPr>
          <w:lang w:val="en-GB"/>
        </w:rPr>
        <w:t>Tg/2</w:t>
      </w:r>
      <w:r>
        <w:rPr>
          <w:lang w:val="en-GB"/>
        </w:rPr>
        <w:t xml:space="preserve">; </w:t>
      </w:r>
      <w:r>
        <w:rPr>
          <w:lang w:val="en-GB"/>
        </w:rPr>
        <w:fldChar w:fldCharType="begin"/>
      </w:r>
      <w:r>
        <w:rPr>
          <w:lang w:val="en-GB"/>
        </w:rPr>
        <w:instrText xml:space="preserve"> REF _Ref11912913 \r \h </w:instrText>
      </w:r>
      <w:r>
        <w:rPr>
          <w:lang w:val="en-GB"/>
        </w:rPr>
      </w:r>
      <w:r>
        <w:rPr>
          <w:lang w:val="en-GB"/>
        </w:rPr>
        <w:fldChar w:fldCharType="separate"/>
      </w:r>
      <w:r>
        <w:rPr>
          <w:lang w:val="en-GB"/>
        </w:rPr>
        <w:t>[3]</w:t>
      </w:r>
      <w:r>
        <w:rPr>
          <w:lang w:val="en-GB"/>
        </w:rPr>
        <w:fldChar w:fldCharType="end"/>
      </w:r>
    </w:p>
    <w:p w14:paraId="05017EB4" w14:textId="1258A86E" w:rsidR="006C3007" w:rsidRDefault="006C3007" w:rsidP="006C3007">
      <w:pPr>
        <w:ind w:left="1418" w:hanging="698"/>
        <w:rPr>
          <w:lang w:val="en-GB"/>
        </w:rPr>
      </w:pPr>
      <w:r>
        <w:rPr>
          <w:lang w:val="en-GB"/>
        </w:rPr>
        <w:t>Opt.3:</w:t>
      </w:r>
      <w:r>
        <w:rPr>
          <w:lang w:val="en-GB"/>
        </w:rPr>
        <w:tab/>
        <w:t>Like option 2 but the parent node signals T_delta,diff, where IAB</w:t>
      </w:r>
      <w:r w:rsidRPr="006C3007">
        <w:rPr>
          <w:lang w:val="en-GB"/>
        </w:rPr>
        <w:t xml:space="preserve"> node calculates T_delta = N</w:t>
      </w:r>
      <w:r w:rsidRPr="0080762E">
        <w:rPr>
          <w:vertAlign w:val="subscript"/>
          <w:lang w:val="en-GB"/>
        </w:rPr>
        <w:t>TA_offset</w:t>
      </w:r>
      <w:r w:rsidR="008A6A5D">
        <w:rPr>
          <w:lang w:val="en-GB"/>
        </w:rPr>
        <w:t>/</w:t>
      </w:r>
      <w:r w:rsidRPr="006C3007">
        <w:rPr>
          <w:lang w:val="en-GB"/>
        </w:rPr>
        <w:t>2 + T_delta,diff</w:t>
      </w:r>
      <w:r w:rsidR="00F64932">
        <w:rPr>
          <w:lang w:val="en-GB"/>
        </w:rPr>
        <w:t xml:space="preserve">; </w:t>
      </w:r>
      <w:r w:rsidR="00F64932">
        <w:rPr>
          <w:lang w:val="en-GB"/>
        </w:rPr>
        <w:fldChar w:fldCharType="begin"/>
      </w:r>
      <w:r w:rsidR="00F64932">
        <w:rPr>
          <w:lang w:val="en-GB"/>
        </w:rPr>
        <w:instrText xml:space="preserve"> REF _Ref11913774 \r \h </w:instrText>
      </w:r>
      <w:r w:rsidR="00F64932">
        <w:rPr>
          <w:lang w:val="en-GB"/>
        </w:rPr>
      </w:r>
      <w:r w:rsidR="00F64932">
        <w:rPr>
          <w:lang w:val="en-GB"/>
        </w:rPr>
        <w:fldChar w:fldCharType="separate"/>
      </w:r>
      <w:r w:rsidR="00F64932">
        <w:rPr>
          <w:lang w:val="en-GB"/>
        </w:rPr>
        <w:t>[4]</w:t>
      </w:r>
      <w:r w:rsidR="00F64932">
        <w:rPr>
          <w:lang w:val="en-GB"/>
        </w:rPr>
        <w:fldChar w:fldCharType="end"/>
      </w:r>
    </w:p>
    <w:p w14:paraId="4309E402" w14:textId="27E5360F" w:rsidR="00D752E2" w:rsidRDefault="00763FA3" w:rsidP="00D752E2">
      <w:pPr>
        <w:rPr>
          <w:lang w:val="en-GB"/>
        </w:rPr>
      </w:pPr>
      <w:r>
        <w:rPr>
          <w:lang w:val="en-GB"/>
        </w:rPr>
        <w:t>With each option the IAB node can calculate the timing offset for the DU TX timing</w:t>
      </w:r>
      <w:r w:rsidR="00DD494C">
        <w:rPr>
          <w:lang w:val="en-GB"/>
        </w:rPr>
        <w:t xml:space="preserve"> </w:t>
      </w:r>
      <w:r w:rsidR="0080762E">
        <w:rPr>
          <w:lang w:val="en-GB"/>
        </w:rPr>
        <w:t>for synchronized IAB operation</w:t>
      </w:r>
      <w:r>
        <w:rPr>
          <w:lang w:val="en-GB"/>
        </w:rPr>
        <w:t xml:space="preserve">. Opt.2 is straightforward but includes a constant part </w:t>
      </w:r>
      <w:r w:rsidR="00DD4F65">
        <w:rPr>
          <w:lang w:val="en-GB"/>
        </w:rPr>
        <w:t xml:space="preserve">(half of the TAoffset) that could be considered non-optimum. Further is could reduce somewhat </w:t>
      </w:r>
      <w:r>
        <w:rPr>
          <w:lang w:val="en-GB"/>
        </w:rPr>
        <w:t xml:space="preserve">the achievable granularity </w:t>
      </w:r>
      <w:r w:rsidR="0080762E">
        <w:rPr>
          <w:lang w:val="en-GB"/>
        </w:rPr>
        <w:t xml:space="preserve">or range </w:t>
      </w:r>
      <w:r>
        <w:rPr>
          <w:lang w:val="en-GB"/>
        </w:rPr>
        <w:t>of the signalled T_delta compared to Opt.1 and 3 with the same number of bits.</w:t>
      </w:r>
      <w:r w:rsidR="00DD4F65">
        <w:rPr>
          <w:lang w:val="en-GB"/>
        </w:rPr>
        <w:t xml:space="preserve"> This is analysed more in </w:t>
      </w:r>
      <w:r w:rsidR="00DD4F65">
        <w:rPr>
          <w:lang w:val="en-GB"/>
        </w:rPr>
        <w:fldChar w:fldCharType="begin"/>
      </w:r>
      <w:r w:rsidR="00DD4F65">
        <w:rPr>
          <w:lang w:val="en-GB"/>
        </w:rPr>
        <w:instrText xml:space="preserve"> REF _Ref12270071 \r \h </w:instrText>
      </w:r>
      <w:r w:rsidR="00DD4F65">
        <w:rPr>
          <w:lang w:val="en-GB"/>
        </w:rPr>
      </w:r>
      <w:r w:rsidR="00DD4F65">
        <w:rPr>
          <w:lang w:val="en-GB"/>
        </w:rPr>
        <w:fldChar w:fldCharType="separate"/>
      </w:r>
      <w:r w:rsidR="00DD4F65">
        <w:rPr>
          <w:lang w:val="en-GB"/>
        </w:rPr>
        <w:t>[5]</w:t>
      </w:r>
      <w:r w:rsidR="00DD4F65">
        <w:rPr>
          <w:lang w:val="en-GB"/>
        </w:rPr>
        <w:fldChar w:fldCharType="end"/>
      </w:r>
      <w:r w:rsidR="00C957EA">
        <w:rPr>
          <w:lang w:val="en-GB"/>
        </w:rPr>
        <w:t>.</w:t>
      </w:r>
    </w:p>
    <w:p w14:paraId="25734AC7" w14:textId="6F0759E6" w:rsidR="00531A5F" w:rsidRDefault="0080762E" w:rsidP="00D752E2">
      <w:pPr>
        <w:rPr>
          <w:lang w:val="en-GB"/>
        </w:rPr>
      </w:pPr>
      <w:r>
        <w:rPr>
          <w:lang w:val="en-GB"/>
        </w:rPr>
        <w:t xml:space="preserve">Opt.1 removes the constant part </w:t>
      </w:r>
      <w:r w:rsidR="00BC122C">
        <w:rPr>
          <w:lang w:val="en-GB"/>
        </w:rPr>
        <w:t>(TA</w:t>
      </w:r>
      <w:r w:rsidR="00BC122C" w:rsidRPr="00BC122C">
        <w:rPr>
          <w:vertAlign w:val="subscript"/>
          <w:lang w:val="en-GB"/>
        </w:rPr>
        <w:t>offset</w:t>
      </w:r>
      <w:r w:rsidR="00BC122C">
        <w:rPr>
          <w:lang w:val="en-GB"/>
        </w:rPr>
        <w:t xml:space="preserve">/2) </w:t>
      </w:r>
      <w:r>
        <w:rPr>
          <w:lang w:val="en-GB"/>
        </w:rPr>
        <w:t xml:space="preserve">at the parent node </w:t>
      </w:r>
      <w:r w:rsidR="00BC122C">
        <w:rPr>
          <w:lang w:val="en-GB"/>
        </w:rPr>
        <w:t xml:space="preserve">and </w:t>
      </w:r>
      <w:r w:rsidR="00531A5F">
        <w:rPr>
          <w:lang w:val="en-GB"/>
        </w:rPr>
        <w:t xml:space="preserve">only the difference between the RX-TX switching gap and the TAoffset will affect </w:t>
      </w:r>
      <w:r w:rsidR="00BC122C">
        <w:rPr>
          <w:lang w:val="en-GB"/>
        </w:rPr>
        <w:t>the signalled value of T_delta.</w:t>
      </w:r>
      <w:r w:rsidR="0026781F">
        <w:rPr>
          <w:lang w:val="en-GB"/>
        </w:rPr>
        <w:t xml:space="preserve"> Hence, with Opt.1 only the information unknown to the IAB node will be signalled.</w:t>
      </w:r>
    </w:p>
    <w:p w14:paraId="096709DB" w14:textId="6D62821A" w:rsidR="00531A5F" w:rsidRPr="0026781F" w:rsidRDefault="00531A5F" w:rsidP="00D752E2">
      <w:pPr>
        <w:rPr>
          <w:b/>
          <w:lang w:val="en-GB"/>
        </w:rPr>
      </w:pPr>
      <w:r w:rsidRPr="0026781F">
        <w:rPr>
          <w:b/>
          <w:lang w:val="en-GB"/>
        </w:rPr>
        <w:t xml:space="preserve">Observation 1: </w:t>
      </w:r>
      <w:r w:rsidR="0026781F" w:rsidRPr="0026781F">
        <w:rPr>
          <w:b/>
          <w:lang w:val="en-GB"/>
        </w:rPr>
        <w:t>Opt.1 is optimal in the sense that signalled T_delta contains only information that is unknown to the IAB node.</w:t>
      </w:r>
    </w:p>
    <w:p w14:paraId="3F4B20DA" w14:textId="53088870" w:rsidR="0080762E" w:rsidRPr="00B45B82" w:rsidRDefault="00BC122C" w:rsidP="00D752E2">
      <w:pPr>
        <w:rPr>
          <w:lang w:val="en-GB"/>
        </w:rPr>
      </w:pPr>
      <w:r>
        <w:rPr>
          <w:lang w:val="en-GB"/>
        </w:rPr>
        <w:t xml:space="preserve">Opt.3 </w:t>
      </w:r>
      <w:r w:rsidR="008D695E">
        <w:rPr>
          <w:lang w:val="en-GB"/>
        </w:rPr>
        <w:t>defin</w:t>
      </w:r>
      <w:r w:rsidR="008A6A5D">
        <w:rPr>
          <w:lang w:val="en-GB"/>
        </w:rPr>
        <w:t>es</w:t>
      </w:r>
      <w:r w:rsidR="00B45B82">
        <w:rPr>
          <w:lang w:val="en-GB"/>
        </w:rPr>
        <w:t xml:space="preserve"> </w:t>
      </w:r>
      <w:r w:rsidR="00B45B82" w:rsidRPr="00B45B82">
        <w:rPr>
          <w:lang w:val="en-GB"/>
        </w:rPr>
        <w:t xml:space="preserve">T_delta,diff </w:t>
      </w:r>
      <w:r w:rsidR="00B45B82">
        <w:rPr>
          <w:lang w:val="en-GB"/>
        </w:rPr>
        <w:t>“</w:t>
      </w:r>
      <w:r w:rsidR="00B45B82" w:rsidRPr="00B45B82">
        <w:rPr>
          <w:i/>
          <w:lang w:val="en-GB"/>
        </w:rPr>
        <w:t>as the difference between actual T_delta (computed from the gap between DL TX and UL) and NTA_offset/2</w:t>
      </w:r>
      <w:r w:rsidR="00B45B82">
        <w:rPr>
          <w:i/>
          <w:lang w:val="en-GB"/>
        </w:rPr>
        <w:t>”</w:t>
      </w:r>
      <w:r w:rsidR="00B45B82">
        <w:rPr>
          <w:lang w:val="en-GB"/>
        </w:rPr>
        <w:t xml:space="preserve">, </w:t>
      </w:r>
      <w:r w:rsidR="00B45B82">
        <w:rPr>
          <w:lang w:val="en-GB"/>
        </w:rPr>
        <w:fldChar w:fldCharType="begin"/>
      </w:r>
      <w:r w:rsidR="00B45B82">
        <w:rPr>
          <w:lang w:val="en-GB"/>
        </w:rPr>
        <w:instrText xml:space="preserve"> REF _Ref11913774 \r \h </w:instrText>
      </w:r>
      <w:r w:rsidR="00B45B82">
        <w:rPr>
          <w:lang w:val="en-GB"/>
        </w:rPr>
      </w:r>
      <w:r w:rsidR="00B45B82">
        <w:rPr>
          <w:lang w:val="en-GB"/>
        </w:rPr>
        <w:fldChar w:fldCharType="separate"/>
      </w:r>
      <w:r w:rsidR="00B45B82">
        <w:rPr>
          <w:lang w:val="en-GB"/>
        </w:rPr>
        <w:t>[4]</w:t>
      </w:r>
      <w:r w:rsidR="00B45B82">
        <w:rPr>
          <w:lang w:val="en-GB"/>
        </w:rPr>
        <w:fldChar w:fldCharType="end"/>
      </w:r>
      <w:r w:rsidR="00B45B82">
        <w:rPr>
          <w:lang w:val="en-GB"/>
        </w:rPr>
        <w:t>. However, using the equations above, T_delta,diff becomes</w:t>
      </w:r>
      <w:r w:rsidR="008A6A5D">
        <w:rPr>
          <w:lang w:val="en-GB"/>
        </w:rPr>
        <w:t xml:space="preserve"> (assuming the </w:t>
      </w:r>
      <w:r w:rsidR="008A6A5D" w:rsidRPr="00BC122C">
        <w:rPr>
          <w:lang w:val="en-GB"/>
        </w:rPr>
        <w:t>N</w:t>
      </w:r>
      <w:r w:rsidR="008A6A5D" w:rsidRPr="00BC122C">
        <w:rPr>
          <w:vertAlign w:val="subscript"/>
          <w:lang w:val="en-GB"/>
        </w:rPr>
        <w:t>TA_offset</w:t>
      </w:r>
      <w:r w:rsidR="008A6A5D">
        <w:rPr>
          <w:lang w:val="en-GB"/>
        </w:rPr>
        <w:t xml:space="preserve"> was supposed to be multiplied by Tc)</w:t>
      </w:r>
      <w:r w:rsidR="00B45B82">
        <w:rPr>
          <w:lang w:val="en-GB"/>
        </w:rPr>
        <w:t>:</w:t>
      </w:r>
    </w:p>
    <w:p w14:paraId="1B78269F" w14:textId="100DA3EE" w:rsidR="00BC122C" w:rsidRDefault="00BC122C" w:rsidP="00B45B82">
      <w:pPr>
        <w:spacing w:after="60"/>
        <w:ind w:left="720"/>
        <w:rPr>
          <w:lang w:val="en-GB"/>
        </w:rPr>
      </w:pPr>
      <w:r w:rsidRPr="00BC122C">
        <w:rPr>
          <w:lang w:val="en-GB"/>
        </w:rPr>
        <w:t>T_delta = N</w:t>
      </w:r>
      <w:r w:rsidRPr="00BC122C">
        <w:rPr>
          <w:vertAlign w:val="subscript"/>
          <w:lang w:val="en-GB"/>
        </w:rPr>
        <w:t>TA_offset</w:t>
      </w:r>
      <w:r w:rsidR="008A6A5D">
        <w:rPr>
          <w:lang w:val="en-GB"/>
        </w:rPr>
        <w:t>*Tc/</w:t>
      </w:r>
      <w:r w:rsidRPr="00BC122C">
        <w:rPr>
          <w:lang w:val="en-GB"/>
        </w:rPr>
        <w:t>2 + T_delta,diff</w:t>
      </w:r>
    </w:p>
    <w:p w14:paraId="4C9C5DF1" w14:textId="4DF8FD6F" w:rsidR="00BC122C" w:rsidRPr="008D695E" w:rsidRDefault="008D695E" w:rsidP="00B45B82">
      <w:pPr>
        <w:spacing w:after="60"/>
        <w:ind w:left="720"/>
        <w:rPr>
          <w:lang w:val="en-GB"/>
        </w:rPr>
      </w:pPr>
      <w:r>
        <w:rPr>
          <w:lang w:val="en-GB"/>
        </w:rPr>
        <w:t>=&gt;</w:t>
      </w:r>
      <w:r w:rsidRPr="008D695E">
        <w:rPr>
          <w:lang w:val="en-GB"/>
        </w:rPr>
        <w:t xml:space="preserve"> </w:t>
      </w:r>
      <w:r w:rsidR="00BC122C" w:rsidRPr="008D695E">
        <w:rPr>
          <w:lang w:val="en-GB"/>
        </w:rPr>
        <w:t>-Tg/2 = N</w:t>
      </w:r>
      <w:r w:rsidR="00BC122C" w:rsidRPr="008D695E">
        <w:rPr>
          <w:vertAlign w:val="subscript"/>
          <w:lang w:val="en-GB"/>
        </w:rPr>
        <w:t>TA_offset</w:t>
      </w:r>
      <w:r w:rsidR="008A6A5D">
        <w:rPr>
          <w:lang w:val="en-GB"/>
        </w:rPr>
        <w:t>*Tc/</w:t>
      </w:r>
      <w:r w:rsidR="00BC122C" w:rsidRPr="008D695E">
        <w:rPr>
          <w:lang w:val="en-GB"/>
        </w:rPr>
        <w:t>2 + T_delta,diff</w:t>
      </w:r>
    </w:p>
    <w:p w14:paraId="3021E03E" w14:textId="1CC28533" w:rsidR="003E1372" w:rsidRDefault="008D695E" w:rsidP="003E1372">
      <w:pPr>
        <w:ind w:left="720"/>
        <w:rPr>
          <w:lang w:val="en-GB"/>
        </w:rPr>
      </w:pPr>
      <w:r>
        <w:rPr>
          <w:lang w:val="en-GB"/>
        </w:rPr>
        <w:t xml:space="preserve">=&gt; </w:t>
      </w:r>
      <w:r w:rsidRPr="006C3007">
        <w:rPr>
          <w:lang w:val="en-GB"/>
        </w:rPr>
        <w:t>T_delta,diff</w:t>
      </w:r>
      <w:r>
        <w:rPr>
          <w:lang w:val="en-GB"/>
        </w:rPr>
        <w:t xml:space="preserve"> = - (</w:t>
      </w:r>
      <w:r w:rsidRPr="006C3007">
        <w:rPr>
          <w:lang w:val="en-GB"/>
        </w:rPr>
        <w:t>T</w:t>
      </w:r>
      <w:r>
        <w:rPr>
          <w:lang w:val="en-GB"/>
        </w:rPr>
        <w:t>g</w:t>
      </w:r>
      <w:r w:rsidRPr="006C3007">
        <w:rPr>
          <w:lang w:val="en-GB"/>
        </w:rPr>
        <w:t xml:space="preserve"> </w:t>
      </w:r>
      <w:r>
        <w:rPr>
          <w:lang w:val="en-GB"/>
        </w:rPr>
        <w:t>+</w:t>
      </w:r>
      <w:r w:rsidRPr="006C3007">
        <w:rPr>
          <w:lang w:val="en-GB"/>
        </w:rPr>
        <w:t xml:space="preserve"> N</w:t>
      </w:r>
      <w:r w:rsidRPr="0080762E">
        <w:rPr>
          <w:vertAlign w:val="subscript"/>
          <w:lang w:val="en-GB"/>
        </w:rPr>
        <w:t>TA_offset</w:t>
      </w:r>
      <w:r w:rsidR="008A6A5D">
        <w:rPr>
          <w:lang w:val="en-GB"/>
        </w:rPr>
        <w:t>*Tc)</w:t>
      </w:r>
      <w:r w:rsidRPr="006C3007">
        <w:rPr>
          <w:lang w:val="en-GB"/>
        </w:rPr>
        <w:t>/2</w:t>
      </w:r>
    </w:p>
    <w:p w14:paraId="247358B0" w14:textId="411939FA" w:rsidR="00BC122C" w:rsidRDefault="008A6A5D" w:rsidP="00D752E2">
      <w:pPr>
        <w:rPr>
          <w:lang w:val="en-GB"/>
        </w:rPr>
      </w:pPr>
      <w:r>
        <w:rPr>
          <w:lang w:val="en-GB"/>
        </w:rPr>
        <w:t xml:space="preserve">Although </w:t>
      </w:r>
      <w:r w:rsidR="003E1372">
        <w:rPr>
          <w:lang w:val="en-GB"/>
        </w:rPr>
        <w:t>the intention</w:t>
      </w:r>
      <w:r>
        <w:rPr>
          <w:lang w:val="en-GB"/>
        </w:rPr>
        <w:t xml:space="preserve"> may have been the opposite</w:t>
      </w:r>
      <w:r w:rsidR="003E1372">
        <w:rPr>
          <w:lang w:val="en-GB"/>
        </w:rPr>
        <w:t xml:space="preserve">, Opt.3 actually increases the absolute value </w:t>
      </w:r>
      <w:r>
        <w:rPr>
          <w:lang w:val="en-GB"/>
        </w:rPr>
        <w:t xml:space="preserve">of the signalled parameter and therefore would be different from Opt.1. Due to lack of clarity and due to </w:t>
      </w:r>
      <w:r w:rsidR="0026781F">
        <w:rPr>
          <w:lang w:val="en-GB"/>
        </w:rPr>
        <w:t xml:space="preserve">the </w:t>
      </w:r>
      <w:r>
        <w:rPr>
          <w:lang w:val="en-GB"/>
        </w:rPr>
        <w:t>deviation from the RAN1 proposals, it is suggested not to consider Opt.3.</w:t>
      </w:r>
    </w:p>
    <w:p w14:paraId="119B7150" w14:textId="5074980B" w:rsidR="008A6A5D" w:rsidRPr="0026781F" w:rsidRDefault="008A6A5D" w:rsidP="00D752E2">
      <w:pPr>
        <w:rPr>
          <w:b/>
          <w:lang w:val="en-GB"/>
        </w:rPr>
      </w:pPr>
      <w:r w:rsidRPr="0026781F">
        <w:rPr>
          <w:b/>
          <w:lang w:val="en-GB"/>
        </w:rPr>
        <w:t>Proposal 1: RAN4 is not supporting Opt.3 as the proposal is not clear and not aligned with RAN1 view</w:t>
      </w:r>
      <w:r w:rsidR="00574E86" w:rsidRPr="0026781F">
        <w:rPr>
          <w:b/>
          <w:lang w:val="en-GB"/>
        </w:rPr>
        <w:t>.</w:t>
      </w:r>
    </w:p>
    <w:p w14:paraId="48DBD6E0" w14:textId="1F57A8C1" w:rsidR="00FB2EA0" w:rsidRDefault="007954D7" w:rsidP="00D752E2">
      <w:pPr>
        <w:rPr>
          <w:lang w:val="en-GB"/>
        </w:rPr>
      </w:pPr>
      <w:r>
        <w:rPr>
          <w:lang w:val="en-GB"/>
        </w:rPr>
        <w:t xml:space="preserve">Related to Opt.1 and Opt.2 the question is how much the constant part in T_delta would eventually affect the granularity and range with acceptable number of bits that can be used for T_delta signalling. </w:t>
      </w:r>
      <w:r w:rsidR="00FB2EA0">
        <w:rPr>
          <w:lang w:val="en-GB"/>
        </w:rPr>
        <w:t>As discussed in</w:t>
      </w:r>
      <w:r>
        <w:rPr>
          <w:lang w:val="en-GB"/>
        </w:rPr>
        <w:t xml:space="preserve"> </w:t>
      </w:r>
      <w:r>
        <w:rPr>
          <w:lang w:val="en-GB"/>
        </w:rPr>
        <w:fldChar w:fldCharType="begin"/>
      </w:r>
      <w:r>
        <w:rPr>
          <w:lang w:val="en-GB"/>
        </w:rPr>
        <w:instrText xml:space="preserve"> REF _Ref11925516 \r \h </w:instrText>
      </w:r>
      <w:r>
        <w:rPr>
          <w:lang w:val="en-GB"/>
        </w:rPr>
      </w:r>
      <w:r>
        <w:rPr>
          <w:lang w:val="en-GB"/>
        </w:rPr>
        <w:fldChar w:fldCharType="separate"/>
      </w:r>
      <w:r>
        <w:rPr>
          <w:lang w:val="en-GB"/>
        </w:rPr>
        <w:t>[5]</w:t>
      </w:r>
      <w:r>
        <w:rPr>
          <w:lang w:val="en-GB"/>
        </w:rPr>
        <w:fldChar w:fldCharType="end"/>
      </w:r>
      <w:r>
        <w:rPr>
          <w:lang w:val="en-GB"/>
        </w:rPr>
        <w:t xml:space="preserve"> </w:t>
      </w:r>
      <w:r w:rsidR="00DD4F65">
        <w:rPr>
          <w:lang w:val="en-GB"/>
        </w:rPr>
        <w:t>t</w:t>
      </w:r>
      <w:r w:rsidR="00FB2EA0">
        <w:rPr>
          <w:lang w:val="en-GB"/>
        </w:rPr>
        <w:t xml:space="preserve">here </w:t>
      </w:r>
      <w:r w:rsidR="00DD4F65">
        <w:rPr>
          <w:lang w:val="en-GB"/>
        </w:rPr>
        <w:t xml:space="preserve">may not be </w:t>
      </w:r>
      <w:r w:rsidR="00FB2EA0">
        <w:rPr>
          <w:lang w:val="en-GB"/>
        </w:rPr>
        <w:t xml:space="preserve">in practice much difference between the options Opt.1 and Opt.2 in terms of range of the T_delta values to have a clear preference over either one of the options. This was concluded with the proposal to extend the </w:t>
      </w:r>
      <w:r w:rsidR="00DD4F65">
        <w:rPr>
          <w:lang w:val="en-GB"/>
        </w:rPr>
        <w:t xml:space="preserve">range of T_delta </w:t>
      </w:r>
      <w:r w:rsidR="00FB2EA0">
        <w:rPr>
          <w:lang w:val="en-GB"/>
        </w:rPr>
        <w:t>by one symbol where the symbol duration would be dominating over the other parameters of T_delta.</w:t>
      </w:r>
      <w:r w:rsidR="00DD4F65">
        <w:rPr>
          <w:lang w:val="en-GB"/>
        </w:rPr>
        <w:t xml:space="preserve"> This was </w:t>
      </w:r>
      <w:r w:rsidR="00DD4F65">
        <w:rPr>
          <w:lang w:val="en-GB"/>
        </w:rPr>
        <w:lastRenderedPageBreak/>
        <w:t xml:space="preserve">especially the case </w:t>
      </w:r>
      <w:r w:rsidR="004A4533">
        <w:rPr>
          <w:lang w:val="en-GB"/>
        </w:rPr>
        <w:t xml:space="preserve">with smaller SCS which will require the highest number of bits with a certain defined granularity. This will also determine what will be </w:t>
      </w:r>
      <w:r w:rsidR="00C957EA">
        <w:rPr>
          <w:lang w:val="en-GB"/>
        </w:rPr>
        <w:t>the definition of the signalled information element</w:t>
      </w:r>
      <w:r w:rsidR="004A4533">
        <w:rPr>
          <w:lang w:val="en-GB"/>
        </w:rPr>
        <w:t>.</w:t>
      </w:r>
      <w:r w:rsidR="00C957EA">
        <w:rPr>
          <w:lang w:val="en-GB"/>
        </w:rPr>
        <w:t xml:space="preserve"> Referring to the results in </w:t>
      </w:r>
      <w:r w:rsidR="00C957EA">
        <w:rPr>
          <w:lang w:val="en-GB"/>
        </w:rPr>
        <w:fldChar w:fldCharType="begin"/>
      </w:r>
      <w:r w:rsidR="00C957EA">
        <w:rPr>
          <w:lang w:val="en-GB"/>
        </w:rPr>
        <w:instrText xml:space="preserve"> REF _Ref12270071 \r \h </w:instrText>
      </w:r>
      <w:r w:rsidR="00C957EA">
        <w:rPr>
          <w:lang w:val="en-GB"/>
        </w:rPr>
      </w:r>
      <w:r w:rsidR="00C957EA">
        <w:rPr>
          <w:lang w:val="en-GB"/>
        </w:rPr>
        <w:fldChar w:fldCharType="separate"/>
      </w:r>
      <w:r w:rsidR="00C957EA">
        <w:rPr>
          <w:lang w:val="en-GB"/>
        </w:rPr>
        <w:t>[5]</w:t>
      </w:r>
      <w:r w:rsidR="00C957EA">
        <w:rPr>
          <w:lang w:val="en-GB"/>
        </w:rPr>
        <w:fldChar w:fldCharType="end"/>
      </w:r>
      <w:r w:rsidR="00C957EA">
        <w:rPr>
          <w:lang w:val="en-GB"/>
        </w:rPr>
        <w:t xml:space="preserve"> we can observe:</w:t>
      </w:r>
    </w:p>
    <w:p w14:paraId="23F9C1A7" w14:textId="7A0C8DFD" w:rsidR="00574E86" w:rsidRDefault="00574E86" w:rsidP="00D752E2">
      <w:pPr>
        <w:rPr>
          <w:lang w:val="en-GB"/>
        </w:rPr>
      </w:pPr>
    </w:p>
    <w:p w14:paraId="11EA0658" w14:textId="43967688" w:rsidR="008F7981" w:rsidRPr="008F7981" w:rsidRDefault="008F7981" w:rsidP="00D752E2">
      <w:pPr>
        <w:rPr>
          <w:b/>
          <w:lang w:val="en-GB"/>
        </w:rPr>
      </w:pPr>
      <w:r w:rsidRPr="008F7981">
        <w:rPr>
          <w:b/>
          <w:lang w:val="en-GB"/>
        </w:rPr>
        <w:t>Observation 2:</w:t>
      </w:r>
      <w:r w:rsidR="00FB2EA0">
        <w:rPr>
          <w:b/>
          <w:lang w:val="en-GB"/>
        </w:rPr>
        <w:t xml:space="preserve"> Both Opt.1 and Opt.2 have similar range of T_delta values without either one being clearly better than the other one.</w:t>
      </w:r>
      <w:r w:rsidRPr="008F7981">
        <w:rPr>
          <w:b/>
          <w:lang w:val="en-GB"/>
        </w:rPr>
        <w:t>.</w:t>
      </w:r>
    </w:p>
    <w:p w14:paraId="30593762" w14:textId="7A7F2581" w:rsidR="008F7981" w:rsidRDefault="00F92526" w:rsidP="00D752E2">
      <w:pPr>
        <w:rPr>
          <w:lang w:val="en-GB"/>
        </w:rPr>
      </w:pPr>
      <w:r>
        <w:rPr>
          <w:lang w:val="en-GB"/>
        </w:rPr>
        <w:t xml:space="preserve">The number of </w:t>
      </w:r>
      <w:r w:rsidR="008F7981">
        <w:rPr>
          <w:lang w:val="en-GB"/>
        </w:rPr>
        <w:t>bit</w:t>
      </w:r>
      <w:r>
        <w:rPr>
          <w:lang w:val="en-GB"/>
        </w:rPr>
        <w:t>s</w:t>
      </w:r>
      <w:r w:rsidR="008F7981">
        <w:rPr>
          <w:lang w:val="en-GB"/>
        </w:rPr>
        <w:t xml:space="preserve"> </w:t>
      </w:r>
      <w:r>
        <w:rPr>
          <w:lang w:val="en-GB"/>
        </w:rPr>
        <w:t xml:space="preserve">of </w:t>
      </w:r>
      <w:r w:rsidR="008F7981">
        <w:rPr>
          <w:lang w:val="en-GB"/>
        </w:rPr>
        <w:t xml:space="preserve">the </w:t>
      </w:r>
      <w:r>
        <w:rPr>
          <w:lang w:val="en-GB"/>
        </w:rPr>
        <w:t xml:space="preserve">T_delta </w:t>
      </w:r>
      <w:r w:rsidR="008F7981">
        <w:rPr>
          <w:lang w:val="en-GB"/>
        </w:rPr>
        <w:t>information element</w:t>
      </w:r>
      <w:r>
        <w:rPr>
          <w:lang w:val="en-GB"/>
        </w:rPr>
        <w:t xml:space="preserve"> could be max 12, </w:t>
      </w:r>
      <w:r>
        <w:rPr>
          <w:lang w:val="en-GB"/>
        </w:rPr>
        <w:fldChar w:fldCharType="begin"/>
      </w:r>
      <w:r>
        <w:rPr>
          <w:lang w:val="en-GB"/>
        </w:rPr>
        <w:instrText xml:space="preserve"> REF _Ref12270071 \r \h </w:instrText>
      </w:r>
      <w:r>
        <w:rPr>
          <w:lang w:val="en-GB"/>
        </w:rPr>
      </w:r>
      <w:r>
        <w:rPr>
          <w:lang w:val="en-GB"/>
        </w:rPr>
        <w:fldChar w:fldCharType="separate"/>
      </w:r>
      <w:r>
        <w:rPr>
          <w:lang w:val="en-GB"/>
        </w:rPr>
        <w:t>[5]</w:t>
      </w:r>
      <w:r>
        <w:rPr>
          <w:lang w:val="en-GB"/>
        </w:rPr>
        <w:fldChar w:fldCharType="end"/>
      </w:r>
      <w:r w:rsidR="008F7981">
        <w:rPr>
          <w:lang w:val="en-GB"/>
        </w:rPr>
        <w:t>. This likely will not be an issue regardless of the decision on the signalling method</w:t>
      </w:r>
      <w:r>
        <w:rPr>
          <w:lang w:val="en-GB"/>
        </w:rPr>
        <w:t xml:space="preserve"> for T_delta</w:t>
      </w:r>
      <w:r w:rsidR="008F7981">
        <w:rPr>
          <w:lang w:val="en-GB"/>
        </w:rPr>
        <w:t xml:space="preserve">. Furthermore, in static IAB deployment the TA and T_delta signalling will be fairly infrequent and therefore the </w:t>
      </w:r>
      <w:r>
        <w:rPr>
          <w:lang w:val="en-GB"/>
        </w:rPr>
        <w:t xml:space="preserve">need to minimize the size of the </w:t>
      </w:r>
      <w:r w:rsidR="008F7981">
        <w:rPr>
          <w:lang w:val="en-GB"/>
        </w:rPr>
        <w:t xml:space="preserve">IE would </w:t>
      </w:r>
      <w:r w:rsidR="00C957EA">
        <w:rPr>
          <w:lang w:val="en-GB"/>
        </w:rPr>
        <w:t>may be</w:t>
      </w:r>
      <w:r>
        <w:rPr>
          <w:lang w:val="en-GB"/>
        </w:rPr>
        <w:t xml:space="preserve"> low</w:t>
      </w:r>
      <w:r w:rsidR="008F7981">
        <w:rPr>
          <w:lang w:val="en-GB"/>
        </w:rPr>
        <w:t xml:space="preserve">. Possible support for mobile IAB deployment supported by </w:t>
      </w:r>
      <w:r w:rsidR="00F068D5">
        <w:rPr>
          <w:lang w:val="en-GB"/>
        </w:rPr>
        <w:t xml:space="preserve">future </w:t>
      </w:r>
      <w:r w:rsidR="008F7981">
        <w:rPr>
          <w:lang w:val="en-GB"/>
        </w:rPr>
        <w:t xml:space="preserve">releases, the </w:t>
      </w:r>
      <w:r w:rsidR="00F068D5">
        <w:rPr>
          <w:lang w:val="en-GB"/>
        </w:rPr>
        <w:t xml:space="preserve">overhead may be meaningful. Hence, only the forward compatibility could be an argument </w:t>
      </w:r>
      <w:r>
        <w:rPr>
          <w:lang w:val="en-GB"/>
        </w:rPr>
        <w:t>to minimize the size of the IE</w:t>
      </w:r>
      <w:r w:rsidR="00F068D5">
        <w:rPr>
          <w:lang w:val="en-GB"/>
        </w:rPr>
        <w:t xml:space="preserve">. </w:t>
      </w:r>
    </w:p>
    <w:p w14:paraId="154BD362" w14:textId="1F18EBA0" w:rsidR="00F068D5" w:rsidRDefault="00F068D5" w:rsidP="00D752E2">
      <w:pPr>
        <w:rPr>
          <w:lang w:val="en-GB"/>
        </w:rPr>
      </w:pPr>
      <w:r>
        <w:rPr>
          <w:lang w:val="en-GB"/>
        </w:rPr>
        <w:t>From RAN4 perspective, either one of the Opt.1 or Opt.2 seems fine just that the range and corresponding granularity is supporting relevant scenarios. The final decision can be therefore left for RAN1.</w:t>
      </w:r>
    </w:p>
    <w:p w14:paraId="1A142F12" w14:textId="3E0E5207" w:rsidR="00F068D5" w:rsidRPr="00F068D5" w:rsidRDefault="00F068D5" w:rsidP="00D752E2">
      <w:pPr>
        <w:rPr>
          <w:b/>
          <w:lang w:val="en-GB"/>
        </w:rPr>
      </w:pPr>
      <w:r w:rsidRPr="00F068D5">
        <w:rPr>
          <w:b/>
          <w:lang w:val="en-GB"/>
        </w:rPr>
        <w:t>Proposal 2: In the LS response to RAN1, RAN4 can indicate that both options Opt.1 and Opt.2 are acceptable. Final decision is up to RAN1.</w:t>
      </w:r>
    </w:p>
    <w:p w14:paraId="7D4A007C" w14:textId="6CE03CEB" w:rsidR="00D752E2" w:rsidRPr="002879C1" w:rsidRDefault="00D752E2" w:rsidP="00D752E2"/>
    <w:p w14:paraId="1B01A1EA" w14:textId="77777777" w:rsidR="00D752E2" w:rsidRDefault="00D752E2" w:rsidP="00D752E2">
      <w:pPr>
        <w:pStyle w:val="RAN4H1"/>
      </w:pPr>
      <w:r w:rsidRPr="00A37002">
        <w:t>Conclusion</w:t>
      </w:r>
    </w:p>
    <w:p w14:paraId="0B2F437F" w14:textId="7741FA68" w:rsidR="00A10FBD" w:rsidRDefault="00D752E2" w:rsidP="00D752E2">
      <w:pPr>
        <w:rPr>
          <w:lang w:val="en-GB"/>
        </w:rPr>
      </w:pPr>
      <w:r w:rsidRPr="0080526F">
        <w:rPr>
          <w:lang w:val="en-GB"/>
        </w:rPr>
        <w:t xml:space="preserve">In this </w:t>
      </w:r>
      <w:r w:rsidR="00F068D5">
        <w:rPr>
          <w:lang w:val="en-GB"/>
        </w:rPr>
        <w:t>contribution we have analysed the options for T_delta de</w:t>
      </w:r>
      <w:r w:rsidR="0026484B">
        <w:rPr>
          <w:lang w:val="en-GB"/>
        </w:rPr>
        <w:t>finition and whether there are differences regarding RAN4 specifications. As the conclusion, both options for T_delta proposed by RAN1 are acceptable for RAN4 without major differences how the range and granularity can be specified. As specific observations and proposals we had following:</w:t>
      </w:r>
    </w:p>
    <w:p w14:paraId="10150BAD" w14:textId="77777777" w:rsidR="0026484B" w:rsidRPr="0026781F" w:rsidRDefault="0026484B" w:rsidP="0026484B">
      <w:pPr>
        <w:rPr>
          <w:b/>
          <w:lang w:val="en-GB"/>
        </w:rPr>
      </w:pPr>
      <w:r w:rsidRPr="0026781F">
        <w:rPr>
          <w:b/>
          <w:lang w:val="en-GB"/>
        </w:rPr>
        <w:t>Observation 1: Opt.1 is optimal in the sense that signalled T_delta contains only information that is unknown to the IAB node.</w:t>
      </w:r>
    </w:p>
    <w:p w14:paraId="161AFB92" w14:textId="04775F92" w:rsidR="0026484B" w:rsidRPr="008F7981" w:rsidRDefault="0026484B" w:rsidP="0026484B">
      <w:pPr>
        <w:rPr>
          <w:b/>
          <w:lang w:val="en-GB"/>
        </w:rPr>
      </w:pPr>
      <w:r w:rsidRPr="008F7981">
        <w:rPr>
          <w:b/>
          <w:lang w:val="en-GB"/>
        </w:rPr>
        <w:t xml:space="preserve">Observation 2: </w:t>
      </w:r>
      <w:r w:rsidR="00F92526" w:rsidRPr="008F7981">
        <w:rPr>
          <w:b/>
          <w:lang w:val="en-GB"/>
        </w:rPr>
        <w:t>:</w:t>
      </w:r>
      <w:r w:rsidR="00F92526">
        <w:rPr>
          <w:b/>
          <w:lang w:val="en-GB"/>
        </w:rPr>
        <w:t xml:space="preserve"> Both Opt.1 and Opt.2 have similar range of T_delta values without either one being clearly better than the other one.</w:t>
      </w:r>
      <w:r w:rsidRPr="008F7981">
        <w:rPr>
          <w:b/>
          <w:lang w:val="en-GB"/>
        </w:rPr>
        <w:t>.</w:t>
      </w:r>
    </w:p>
    <w:p w14:paraId="284B20E8" w14:textId="77777777" w:rsidR="0026484B" w:rsidRPr="0026781F" w:rsidRDefault="0026484B" w:rsidP="0026484B">
      <w:pPr>
        <w:rPr>
          <w:b/>
          <w:lang w:val="en-GB"/>
        </w:rPr>
      </w:pPr>
      <w:r w:rsidRPr="0026781F">
        <w:rPr>
          <w:b/>
          <w:lang w:val="en-GB"/>
        </w:rPr>
        <w:t>Proposal 1: RAN4 is not supporting Opt.3 as the proposal is not clear and not aligned with RAN1 view.</w:t>
      </w:r>
    </w:p>
    <w:p w14:paraId="02B0C801" w14:textId="77777777" w:rsidR="0026484B" w:rsidRPr="00F068D5" w:rsidRDefault="0026484B" w:rsidP="0026484B">
      <w:pPr>
        <w:rPr>
          <w:b/>
          <w:lang w:val="en-GB"/>
        </w:rPr>
      </w:pPr>
      <w:r w:rsidRPr="00F068D5">
        <w:rPr>
          <w:b/>
          <w:lang w:val="en-GB"/>
        </w:rPr>
        <w:t>Proposal 2: In the LS response to RAN1, RAN4 can indicate that both options Opt.1 and Opt.2 are acceptable. Final decision is up to RAN1.</w:t>
      </w:r>
    </w:p>
    <w:p w14:paraId="66D1BF65" w14:textId="77777777" w:rsidR="00D752E2" w:rsidRPr="0080526F" w:rsidRDefault="00D752E2" w:rsidP="00D752E2"/>
    <w:p w14:paraId="17A8818D" w14:textId="77777777" w:rsidR="00D752E2" w:rsidRPr="0080526F" w:rsidRDefault="00D752E2" w:rsidP="00D752E2">
      <w:pPr>
        <w:pStyle w:val="RAN4H1"/>
        <w:numPr>
          <w:ilvl w:val="0"/>
          <w:numId w:val="0"/>
        </w:numPr>
        <w:ind w:left="360" w:hanging="360"/>
      </w:pPr>
      <w:r w:rsidRPr="0080526F">
        <w:t>References</w:t>
      </w:r>
    </w:p>
    <w:p w14:paraId="620B9E3A" w14:textId="72C5DF1B" w:rsidR="00A10FBD" w:rsidRPr="00F64932" w:rsidRDefault="005E0895" w:rsidP="00D752E2">
      <w:pPr>
        <w:pStyle w:val="ListParagraph"/>
        <w:numPr>
          <w:ilvl w:val="0"/>
          <w:numId w:val="21"/>
        </w:numPr>
        <w:ind w:right="-22"/>
        <w:rPr>
          <w:lang w:val="en-GB"/>
        </w:rPr>
      </w:pPr>
      <w:bookmarkStart w:id="3" w:name="_Ref11912873"/>
      <w:r w:rsidRPr="00F64932">
        <w:rPr>
          <w:i/>
          <w:lang w:val="en-GB"/>
        </w:rPr>
        <w:t>Draft RAN4 #91 Meeting report</w:t>
      </w:r>
      <w:bookmarkEnd w:id="3"/>
    </w:p>
    <w:bookmarkStart w:id="4" w:name="_Ref11912893"/>
    <w:p w14:paraId="17017846" w14:textId="3B16D20B" w:rsidR="00A10FBD" w:rsidRDefault="003830C7" w:rsidP="00D752E2">
      <w:pPr>
        <w:pStyle w:val="ListParagraph"/>
        <w:numPr>
          <w:ilvl w:val="0"/>
          <w:numId w:val="21"/>
        </w:numPr>
        <w:ind w:right="-22"/>
        <w:rPr>
          <w:lang w:val="en-GB"/>
        </w:rPr>
      </w:pPr>
      <w:r>
        <w:rPr>
          <w:lang w:val="en-GB"/>
        </w:rPr>
        <w:fldChar w:fldCharType="begin"/>
      </w:r>
      <w:r>
        <w:rPr>
          <w:lang w:val="en-GB"/>
        </w:rPr>
        <w:instrText xml:space="preserve"> HYPERLINK "https://www.3gpp.org/ftp/tsg_ran/WG1_RL1/TSGR1_96/Docs/R1-1903810.zip" </w:instrText>
      </w:r>
      <w:r>
        <w:rPr>
          <w:lang w:val="en-GB"/>
        </w:rPr>
        <w:fldChar w:fldCharType="separate"/>
      </w:r>
      <w:r w:rsidR="005E0895" w:rsidRPr="003830C7">
        <w:rPr>
          <w:rStyle w:val="Hyperlink"/>
          <w:lang w:val="en-GB"/>
        </w:rPr>
        <w:t>R1-1903810</w:t>
      </w:r>
      <w:r>
        <w:rPr>
          <w:lang w:val="en-GB"/>
        </w:rPr>
        <w:fldChar w:fldCharType="end"/>
      </w:r>
      <w:r w:rsidR="005E0895">
        <w:rPr>
          <w:lang w:val="en-GB"/>
        </w:rPr>
        <w:t xml:space="preserve"> </w:t>
      </w:r>
      <w:r w:rsidRPr="00F64932">
        <w:rPr>
          <w:i/>
          <w:lang w:val="en-GB"/>
        </w:rPr>
        <w:t>LS on OTA timing alignment for IAB</w:t>
      </w:r>
      <w:bookmarkEnd w:id="4"/>
    </w:p>
    <w:bookmarkStart w:id="5" w:name="_Ref11912913"/>
    <w:p w14:paraId="5977F384" w14:textId="7C57A8BB" w:rsidR="005E0895" w:rsidRDefault="003830C7" w:rsidP="00D752E2">
      <w:pPr>
        <w:pStyle w:val="ListParagraph"/>
        <w:numPr>
          <w:ilvl w:val="0"/>
          <w:numId w:val="21"/>
        </w:numPr>
        <w:ind w:right="-22"/>
        <w:rPr>
          <w:lang w:val="en-GB"/>
        </w:rPr>
      </w:pPr>
      <w:r>
        <w:rPr>
          <w:lang w:val="en-GB"/>
        </w:rPr>
        <w:fldChar w:fldCharType="begin"/>
      </w:r>
      <w:r>
        <w:rPr>
          <w:lang w:val="en-GB"/>
        </w:rPr>
        <w:instrText xml:space="preserve"> HYPERLINK "https://www.3gpp.org/ftp/tsg_ran/WG4_Radio/TSGR4_91/Docs/R4-1905306.zip" </w:instrText>
      </w:r>
      <w:r>
        <w:rPr>
          <w:lang w:val="en-GB"/>
        </w:rPr>
        <w:fldChar w:fldCharType="separate"/>
      </w:r>
      <w:r w:rsidRPr="003830C7">
        <w:rPr>
          <w:rStyle w:val="Hyperlink"/>
          <w:lang w:val="en-GB"/>
        </w:rPr>
        <w:t>R4-1905306</w:t>
      </w:r>
      <w:r>
        <w:rPr>
          <w:lang w:val="en-GB"/>
        </w:rPr>
        <w:fldChar w:fldCharType="end"/>
      </w:r>
      <w:r>
        <w:rPr>
          <w:lang w:val="en-GB"/>
        </w:rPr>
        <w:t xml:space="preserve"> </w:t>
      </w:r>
      <w:r w:rsidRPr="00F64932">
        <w:rPr>
          <w:i/>
          <w:lang w:val="en-GB"/>
        </w:rPr>
        <w:t>LS on clarification of OTA timing alignment for IAB</w:t>
      </w:r>
      <w:bookmarkEnd w:id="5"/>
    </w:p>
    <w:bookmarkStart w:id="6" w:name="_Ref11913774"/>
    <w:p w14:paraId="49F11986" w14:textId="0CBB7381" w:rsidR="00F64932" w:rsidRDefault="00F64932" w:rsidP="00D752E2">
      <w:pPr>
        <w:pStyle w:val="ListParagraph"/>
        <w:numPr>
          <w:ilvl w:val="0"/>
          <w:numId w:val="21"/>
        </w:numPr>
        <w:ind w:right="-22"/>
        <w:rPr>
          <w:lang w:val="en-GB"/>
        </w:rPr>
      </w:pPr>
      <w:r>
        <w:rPr>
          <w:lang w:val="en-GB"/>
        </w:rPr>
        <w:fldChar w:fldCharType="begin"/>
      </w:r>
      <w:r>
        <w:rPr>
          <w:lang w:val="en-GB"/>
        </w:rPr>
        <w:instrText xml:space="preserve"> HYPERLINK "https://www.3gpp.org/ftp/tsg_ran/WG4_Radio/TSGR4_91/Docs/R4-1907184.zip" </w:instrText>
      </w:r>
      <w:r>
        <w:rPr>
          <w:lang w:val="en-GB"/>
        </w:rPr>
        <w:fldChar w:fldCharType="separate"/>
      </w:r>
      <w:r w:rsidRPr="00F64932">
        <w:rPr>
          <w:rStyle w:val="Hyperlink"/>
          <w:lang w:val="en-GB"/>
        </w:rPr>
        <w:t>R4-1907184</w:t>
      </w:r>
      <w:r>
        <w:rPr>
          <w:lang w:val="en-GB"/>
        </w:rPr>
        <w:fldChar w:fldCharType="end"/>
      </w:r>
      <w:r>
        <w:rPr>
          <w:lang w:val="en-GB"/>
        </w:rPr>
        <w:t xml:space="preserve"> </w:t>
      </w:r>
      <w:r w:rsidRPr="00F64932">
        <w:rPr>
          <w:i/>
          <w:lang w:val="en-GB"/>
        </w:rPr>
        <w:t>OTA timing alignment for IAB Networks</w:t>
      </w:r>
      <w:r>
        <w:rPr>
          <w:lang w:val="en-GB"/>
        </w:rPr>
        <w:t>, Qualcomm Inc.</w:t>
      </w:r>
      <w:bookmarkEnd w:id="6"/>
    </w:p>
    <w:p w14:paraId="6AE419FC" w14:textId="729A05D4" w:rsidR="00FB2EA0" w:rsidRPr="00FB2EA0" w:rsidRDefault="00FB2EA0" w:rsidP="00EA62CA">
      <w:pPr>
        <w:pStyle w:val="ListParagraph"/>
        <w:numPr>
          <w:ilvl w:val="0"/>
          <w:numId w:val="21"/>
        </w:numPr>
        <w:rPr>
          <w:lang w:val="en-GB"/>
        </w:rPr>
      </w:pPr>
      <w:bookmarkStart w:id="7" w:name="_Ref12270071"/>
      <w:bookmarkStart w:id="8" w:name="_Ref11925516"/>
      <w:r w:rsidRPr="00EA62CA">
        <w:rPr>
          <w:lang w:val="en-GB"/>
        </w:rPr>
        <w:t>R4-19</w:t>
      </w:r>
      <w:r w:rsidR="00044CB4" w:rsidRPr="00EA62CA">
        <w:rPr>
          <w:lang w:val="en-GB"/>
        </w:rPr>
        <w:t>08920</w:t>
      </w:r>
      <w:r w:rsidRPr="00FB2EA0">
        <w:rPr>
          <w:lang w:val="en-GB"/>
        </w:rPr>
        <w:t xml:space="preserve"> </w:t>
      </w:r>
      <w:r w:rsidRPr="00EA62CA">
        <w:rPr>
          <w:i/>
          <w:lang w:val="en-GB"/>
        </w:rPr>
        <w:t>Range and granularity of T_delta</w:t>
      </w:r>
      <w:r w:rsidRPr="00FB2EA0">
        <w:rPr>
          <w:lang w:val="en-GB"/>
        </w:rPr>
        <w:t>, Nokia, Nokia Shan</w:t>
      </w:r>
      <w:r>
        <w:rPr>
          <w:lang w:val="en-GB"/>
        </w:rPr>
        <w:t>ghai Bell</w:t>
      </w:r>
      <w:bookmarkEnd w:id="7"/>
    </w:p>
    <w:p w14:paraId="0E4ACAD9" w14:textId="67539CC4" w:rsidR="0026781F" w:rsidRDefault="0026781F" w:rsidP="00EA62CA">
      <w:pPr>
        <w:pStyle w:val="ListParagraph"/>
        <w:ind w:left="360" w:right="-22"/>
        <w:rPr>
          <w:lang w:val="en-GB"/>
        </w:rPr>
      </w:pPr>
      <w:bookmarkStart w:id="9" w:name="_GoBack"/>
      <w:bookmarkEnd w:id="8"/>
      <w:bookmarkEnd w:id="9"/>
    </w:p>
    <w:sectPr w:rsidR="0026781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E1591" w14:textId="77777777" w:rsidR="00332A41" w:rsidRDefault="00332A41" w:rsidP="00001C9B">
      <w:pPr>
        <w:spacing w:after="0" w:line="240" w:lineRule="auto"/>
      </w:pPr>
      <w:r>
        <w:separator/>
      </w:r>
    </w:p>
  </w:endnote>
  <w:endnote w:type="continuationSeparator" w:id="0">
    <w:p w14:paraId="6711072B" w14:textId="77777777" w:rsidR="00332A41" w:rsidRDefault="00332A4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1E073" w14:textId="77777777" w:rsidR="00332A41" w:rsidRDefault="00332A41" w:rsidP="00001C9B">
      <w:pPr>
        <w:spacing w:after="0" w:line="240" w:lineRule="auto"/>
      </w:pPr>
      <w:r>
        <w:separator/>
      </w:r>
    </w:p>
  </w:footnote>
  <w:footnote w:type="continuationSeparator" w:id="0">
    <w:p w14:paraId="5FACD472" w14:textId="77777777" w:rsidR="00332A41" w:rsidRDefault="00332A4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6E1549"/>
    <w:multiLevelType w:val="hybridMultilevel"/>
    <w:tmpl w:val="A89E5216"/>
    <w:lvl w:ilvl="0" w:tplc="7C66FCD0">
      <w:start w:val="1"/>
      <w:numFmt w:val="bullet"/>
      <w:lvlText w:val="•"/>
      <w:lvlJc w:val="left"/>
      <w:pPr>
        <w:tabs>
          <w:tab w:val="num" w:pos="720"/>
        </w:tabs>
        <w:ind w:left="720" w:hanging="360"/>
      </w:pPr>
      <w:rPr>
        <w:rFonts w:ascii="Arial" w:hAnsi="Arial" w:hint="default"/>
      </w:rPr>
    </w:lvl>
    <w:lvl w:ilvl="1" w:tplc="7BBC7BCC">
      <w:start w:val="1"/>
      <w:numFmt w:val="decimal"/>
      <w:lvlText w:val="%2."/>
      <w:lvlJc w:val="left"/>
      <w:pPr>
        <w:tabs>
          <w:tab w:val="num" w:pos="1440"/>
        </w:tabs>
        <w:ind w:left="1440" w:hanging="360"/>
      </w:pPr>
    </w:lvl>
    <w:lvl w:ilvl="2" w:tplc="E04433B0" w:tentative="1">
      <w:start w:val="1"/>
      <w:numFmt w:val="bullet"/>
      <w:lvlText w:val="•"/>
      <w:lvlJc w:val="left"/>
      <w:pPr>
        <w:tabs>
          <w:tab w:val="num" w:pos="2160"/>
        </w:tabs>
        <w:ind w:left="2160" w:hanging="360"/>
      </w:pPr>
      <w:rPr>
        <w:rFonts w:ascii="Arial" w:hAnsi="Arial" w:hint="default"/>
      </w:rPr>
    </w:lvl>
    <w:lvl w:ilvl="3" w:tplc="5CAA7A9C" w:tentative="1">
      <w:start w:val="1"/>
      <w:numFmt w:val="bullet"/>
      <w:lvlText w:val="•"/>
      <w:lvlJc w:val="left"/>
      <w:pPr>
        <w:tabs>
          <w:tab w:val="num" w:pos="2880"/>
        </w:tabs>
        <w:ind w:left="2880" w:hanging="360"/>
      </w:pPr>
      <w:rPr>
        <w:rFonts w:ascii="Arial" w:hAnsi="Arial" w:hint="default"/>
      </w:rPr>
    </w:lvl>
    <w:lvl w:ilvl="4" w:tplc="206E9464" w:tentative="1">
      <w:start w:val="1"/>
      <w:numFmt w:val="bullet"/>
      <w:lvlText w:val="•"/>
      <w:lvlJc w:val="left"/>
      <w:pPr>
        <w:tabs>
          <w:tab w:val="num" w:pos="3600"/>
        </w:tabs>
        <w:ind w:left="3600" w:hanging="360"/>
      </w:pPr>
      <w:rPr>
        <w:rFonts w:ascii="Arial" w:hAnsi="Arial" w:hint="default"/>
      </w:rPr>
    </w:lvl>
    <w:lvl w:ilvl="5" w:tplc="26C4AC32" w:tentative="1">
      <w:start w:val="1"/>
      <w:numFmt w:val="bullet"/>
      <w:lvlText w:val="•"/>
      <w:lvlJc w:val="left"/>
      <w:pPr>
        <w:tabs>
          <w:tab w:val="num" w:pos="4320"/>
        </w:tabs>
        <w:ind w:left="4320" w:hanging="360"/>
      </w:pPr>
      <w:rPr>
        <w:rFonts w:ascii="Arial" w:hAnsi="Arial" w:hint="default"/>
      </w:rPr>
    </w:lvl>
    <w:lvl w:ilvl="6" w:tplc="A2925B04" w:tentative="1">
      <w:start w:val="1"/>
      <w:numFmt w:val="bullet"/>
      <w:lvlText w:val="•"/>
      <w:lvlJc w:val="left"/>
      <w:pPr>
        <w:tabs>
          <w:tab w:val="num" w:pos="5040"/>
        </w:tabs>
        <w:ind w:left="5040" w:hanging="360"/>
      </w:pPr>
      <w:rPr>
        <w:rFonts w:ascii="Arial" w:hAnsi="Arial" w:hint="default"/>
      </w:rPr>
    </w:lvl>
    <w:lvl w:ilvl="7" w:tplc="3A203944" w:tentative="1">
      <w:start w:val="1"/>
      <w:numFmt w:val="bullet"/>
      <w:lvlText w:val="•"/>
      <w:lvlJc w:val="left"/>
      <w:pPr>
        <w:tabs>
          <w:tab w:val="num" w:pos="5760"/>
        </w:tabs>
        <w:ind w:left="5760" w:hanging="360"/>
      </w:pPr>
      <w:rPr>
        <w:rFonts w:ascii="Arial" w:hAnsi="Arial" w:hint="default"/>
      </w:rPr>
    </w:lvl>
    <w:lvl w:ilvl="8" w:tplc="72489A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432E87"/>
    <w:multiLevelType w:val="hybridMultilevel"/>
    <w:tmpl w:val="EB3E5C46"/>
    <w:lvl w:ilvl="0" w:tplc="C86EB756">
      <w:numFmt w:val="bullet"/>
      <w:lvlText w:val=""/>
      <w:lvlJc w:val="left"/>
      <w:pPr>
        <w:ind w:left="1080" w:hanging="360"/>
      </w:pPr>
      <w:rPr>
        <w:rFonts w:ascii="Wingdings" w:eastAsiaTheme="minorHAnsi" w:hAnsi="Wingdings" w:cstheme="minorBidi"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FD264B"/>
    <w:multiLevelType w:val="hybridMultilevel"/>
    <w:tmpl w:val="65EC6B7C"/>
    <w:lvl w:ilvl="0" w:tplc="F260F536">
      <w:start w:val="1"/>
      <w:numFmt w:val="bullet"/>
      <w:lvlText w:val="•"/>
      <w:lvlJc w:val="left"/>
      <w:pPr>
        <w:tabs>
          <w:tab w:val="num" w:pos="720"/>
        </w:tabs>
        <w:ind w:left="720" w:hanging="360"/>
      </w:pPr>
      <w:rPr>
        <w:rFonts w:ascii="Arial" w:hAnsi="Arial" w:hint="default"/>
      </w:rPr>
    </w:lvl>
    <w:lvl w:ilvl="1" w:tplc="DBF8703C">
      <w:start w:val="115"/>
      <w:numFmt w:val="bullet"/>
      <w:lvlText w:val="–"/>
      <w:lvlJc w:val="left"/>
      <w:pPr>
        <w:tabs>
          <w:tab w:val="num" w:pos="1440"/>
        </w:tabs>
        <w:ind w:left="1440" w:hanging="360"/>
      </w:pPr>
      <w:rPr>
        <w:rFonts w:ascii="Arial" w:hAnsi="Arial" w:hint="default"/>
      </w:rPr>
    </w:lvl>
    <w:lvl w:ilvl="2" w:tplc="2DEE5ACA" w:tentative="1">
      <w:start w:val="1"/>
      <w:numFmt w:val="bullet"/>
      <w:lvlText w:val="•"/>
      <w:lvlJc w:val="left"/>
      <w:pPr>
        <w:tabs>
          <w:tab w:val="num" w:pos="2160"/>
        </w:tabs>
        <w:ind w:left="2160" w:hanging="360"/>
      </w:pPr>
      <w:rPr>
        <w:rFonts w:ascii="Arial" w:hAnsi="Arial" w:hint="default"/>
      </w:rPr>
    </w:lvl>
    <w:lvl w:ilvl="3" w:tplc="5A4457E4" w:tentative="1">
      <w:start w:val="1"/>
      <w:numFmt w:val="bullet"/>
      <w:lvlText w:val="•"/>
      <w:lvlJc w:val="left"/>
      <w:pPr>
        <w:tabs>
          <w:tab w:val="num" w:pos="2880"/>
        </w:tabs>
        <w:ind w:left="2880" w:hanging="360"/>
      </w:pPr>
      <w:rPr>
        <w:rFonts w:ascii="Arial" w:hAnsi="Arial" w:hint="default"/>
      </w:rPr>
    </w:lvl>
    <w:lvl w:ilvl="4" w:tplc="386CE0FE" w:tentative="1">
      <w:start w:val="1"/>
      <w:numFmt w:val="bullet"/>
      <w:lvlText w:val="•"/>
      <w:lvlJc w:val="left"/>
      <w:pPr>
        <w:tabs>
          <w:tab w:val="num" w:pos="3600"/>
        </w:tabs>
        <w:ind w:left="3600" w:hanging="360"/>
      </w:pPr>
      <w:rPr>
        <w:rFonts w:ascii="Arial" w:hAnsi="Arial" w:hint="default"/>
      </w:rPr>
    </w:lvl>
    <w:lvl w:ilvl="5" w:tplc="00D2D58E" w:tentative="1">
      <w:start w:val="1"/>
      <w:numFmt w:val="bullet"/>
      <w:lvlText w:val="•"/>
      <w:lvlJc w:val="left"/>
      <w:pPr>
        <w:tabs>
          <w:tab w:val="num" w:pos="4320"/>
        </w:tabs>
        <w:ind w:left="4320" w:hanging="360"/>
      </w:pPr>
      <w:rPr>
        <w:rFonts w:ascii="Arial" w:hAnsi="Arial" w:hint="default"/>
      </w:rPr>
    </w:lvl>
    <w:lvl w:ilvl="6" w:tplc="48E27A4A" w:tentative="1">
      <w:start w:val="1"/>
      <w:numFmt w:val="bullet"/>
      <w:lvlText w:val="•"/>
      <w:lvlJc w:val="left"/>
      <w:pPr>
        <w:tabs>
          <w:tab w:val="num" w:pos="5040"/>
        </w:tabs>
        <w:ind w:left="5040" w:hanging="360"/>
      </w:pPr>
      <w:rPr>
        <w:rFonts w:ascii="Arial" w:hAnsi="Arial" w:hint="default"/>
      </w:rPr>
    </w:lvl>
    <w:lvl w:ilvl="7" w:tplc="0DB06CC8" w:tentative="1">
      <w:start w:val="1"/>
      <w:numFmt w:val="bullet"/>
      <w:lvlText w:val="•"/>
      <w:lvlJc w:val="left"/>
      <w:pPr>
        <w:tabs>
          <w:tab w:val="num" w:pos="5760"/>
        </w:tabs>
        <w:ind w:left="5760" w:hanging="360"/>
      </w:pPr>
      <w:rPr>
        <w:rFonts w:ascii="Arial" w:hAnsi="Arial" w:hint="default"/>
      </w:rPr>
    </w:lvl>
    <w:lvl w:ilvl="8" w:tplc="B4CA58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B96FB5"/>
    <w:multiLevelType w:val="hybridMultilevel"/>
    <w:tmpl w:val="638087C0"/>
    <w:lvl w:ilvl="0" w:tplc="546AD78E">
      <w:start w:val="1"/>
      <w:numFmt w:val="bullet"/>
      <w:lvlText w:val="•"/>
      <w:lvlJc w:val="left"/>
      <w:pPr>
        <w:tabs>
          <w:tab w:val="num" w:pos="720"/>
        </w:tabs>
        <w:ind w:left="720" w:hanging="360"/>
      </w:pPr>
      <w:rPr>
        <w:rFonts w:ascii="Arial" w:hAnsi="Arial" w:hint="default"/>
      </w:rPr>
    </w:lvl>
    <w:lvl w:ilvl="1" w:tplc="1D6E4DA2">
      <w:start w:val="115"/>
      <w:numFmt w:val="bullet"/>
      <w:lvlText w:val="–"/>
      <w:lvlJc w:val="left"/>
      <w:pPr>
        <w:tabs>
          <w:tab w:val="num" w:pos="1440"/>
        </w:tabs>
        <w:ind w:left="1440" w:hanging="360"/>
      </w:pPr>
      <w:rPr>
        <w:rFonts w:ascii="Arial" w:hAnsi="Arial" w:hint="default"/>
      </w:rPr>
    </w:lvl>
    <w:lvl w:ilvl="2" w:tplc="AA667A16" w:tentative="1">
      <w:start w:val="1"/>
      <w:numFmt w:val="bullet"/>
      <w:lvlText w:val="•"/>
      <w:lvlJc w:val="left"/>
      <w:pPr>
        <w:tabs>
          <w:tab w:val="num" w:pos="2160"/>
        </w:tabs>
        <w:ind w:left="2160" w:hanging="360"/>
      </w:pPr>
      <w:rPr>
        <w:rFonts w:ascii="Arial" w:hAnsi="Arial" w:hint="default"/>
      </w:rPr>
    </w:lvl>
    <w:lvl w:ilvl="3" w:tplc="3BB4D482" w:tentative="1">
      <w:start w:val="1"/>
      <w:numFmt w:val="bullet"/>
      <w:lvlText w:val="•"/>
      <w:lvlJc w:val="left"/>
      <w:pPr>
        <w:tabs>
          <w:tab w:val="num" w:pos="2880"/>
        </w:tabs>
        <w:ind w:left="2880" w:hanging="360"/>
      </w:pPr>
      <w:rPr>
        <w:rFonts w:ascii="Arial" w:hAnsi="Arial" w:hint="default"/>
      </w:rPr>
    </w:lvl>
    <w:lvl w:ilvl="4" w:tplc="31D2B746" w:tentative="1">
      <w:start w:val="1"/>
      <w:numFmt w:val="bullet"/>
      <w:lvlText w:val="•"/>
      <w:lvlJc w:val="left"/>
      <w:pPr>
        <w:tabs>
          <w:tab w:val="num" w:pos="3600"/>
        </w:tabs>
        <w:ind w:left="3600" w:hanging="360"/>
      </w:pPr>
      <w:rPr>
        <w:rFonts w:ascii="Arial" w:hAnsi="Arial" w:hint="default"/>
      </w:rPr>
    </w:lvl>
    <w:lvl w:ilvl="5" w:tplc="AD84371C" w:tentative="1">
      <w:start w:val="1"/>
      <w:numFmt w:val="bullet"/>
      <w:lvlText w:val="•"/>
      <w:lvlJc w:val="left"/>
      <w:pPr>
        <w:tabs>
          <w:tab w:val="num" w:pos="4320"/>
        </w:tabs>
        <w:ind w:left="4320" w:hanging="360"/>
      </w:pPr>
      <w:rPr>
        <w:rFonts w:ascii="Arial" w:hAnsi="Arial" w:hint="default"/>
      </w:rPr>
    </w:lvl>
    <w:lvl w:ilvl="6" w:tplc="AFEC6260" w:tentative="1">
      <w:start w:val="1"/>
      <w:numFmt w:val="bullet"/>
      <w:lvlText w:val="•"/>
      <w:lvlJc w:val="left"/>
      <w:pPr>
        <w:tabs>
          <w:tab w:val="num" w:pos="5040"/>
        </w:tabs>
        <w:ind w:left="5040" w:hanging="360"/>
      </w:pPr>
      <w:rPr>
        <w:rFonts w:ascii="Arial" w:hAnsi="Arial" w:hint="default"/>
      </w:rPr>
    </w:lvl>
    <w:lvl w:ilvl="7" w:tplc="8BD83E06" w:tentative="1">
      <w:start w:val="1"/>
      <w:numFmt w:val="bullet"/>
      <w:lvlText w:val="•"/>
      <w:lvlJc w:val="left"/>
      <w:pPr>
        <w:tabs>
          <w:tab w:val="num" w:pos="5760"/>
        </w:tabs>
        <w:ind w:left="5760" w:hanging="360"/>
      </w:pPr>
      <w:rPr>
        <w:rFonts w:ascii="Arial" w:hAnsi="Arial" w:hint="default"/>
      </w:rPr>
    </w:lvl>
    <w:lvl w:ilvl="8" w:tplc="E26AAE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FC7D6B"/>
    <w:multiLevelType w:val="hybridMultilevel"/>
    <w:tmpl w:val="81367A88"/>
    <w:lvl w:ilvl="0" w:tplc="4D285BE4">
      <w:start w:val="1"/>
      <w:numFmt w:val="bullet"/>
      <w:lvlText w:val="•"/>
      <w:lvlJc w:val="left"/>
      <w:pPr>
        <w:tabs>
          <w:tab w:val="num" w:pos="720"/>
        </w:tabs>
        <w:ind w:left="720" w:hanging="360"/>
      </w:pPr>
      <w:rPr>
        <w:rFonts w:ascii="Arial" w:hAnsi="Arial" w:hint="default"/>
      </w:rPr>
    </w:lvl>
    <w:lvl w:ilvl="1" w:tplc="C662110E">
      <w:start w:val="115"/>
      <w:numFmt w:val="bullet"/>
      <w:lvlText w:val="–"/>
      <w:lvlJc w:val="left"/>
      <w:pPr>
        <w:tabs>
          <w:tab w:val="num" w:pos="1440"/>
        </w:tabs>
        <w:ind w:left="1440" w:hanging="360"/>
      </w:pPr>
      <w:rPr>
        <w:rFonts w:ascii="Arial" w:hAnsi="Arial" w:hint="default"/>
      </w:rPr>
    </w:lvl>
    <w:lvl w:ilvl="2" w:tplc="B538D550">
      <w:start w:val="115"/>
      <w:numFmt w:val="bullet"/>
      <w:lvlText w:val="•"/>
      <w:lvlJc w:val="left"/>
      <w:pPr>
        <w:tabs>
          <w:tab w:val="num" w:pos="2160"/>
        </w:tabs>
        <w:ind w:left="2160" w:hanging="360"/>
      </w:pPr>
      <w:rPr>
        <w:rFonts w:ascii="Arial" w:hAnsi="Arial" w:hint="default"/>
      </w:rPr>
    </w:lvl>
    <w:lvl w:ilvl="3" w:tplc="F28EFC64" w:tentative="1">
      <w:start w:val="1"/>
      <w:numFmt w:val="bullet"/>
      <w:lvlText w:val="•"/>
      <w:lvlJc w:val="left"/>
      <w:pPr>
        <w:tabs>
          <w:tab w:val="num" w:pos="2880"/>
        </w:tabs>
        <w:ind w:left="2880" w:hanging="360"/>
      </w:pPr>
      <w:rPr>
        <w:rFonts w:ascii="Arial" w:hAnsi="Arial" w:hint="default"/>
      </w:rPr>
    </w:lvl>
    <w:lvl w:ilvl="4" w:tplc="3E54AA28" w:tentative="1">
      <w:start w:val="1"/>
      <w:numFmt w:val="bullet"/>
      <w:lvlText w:val="•"/>
      <w:lvlJc w:val="left"/>
      <w:pPr>
        <w:tabs>
          <w:tab w:val="num" w:pos="3600"/>
        </w:tabs>
        <w:ind w:left="3600" w:hanging="360"/>
      </w:pPr>
      <w:rPr>
        <w:rFonts w:ascii="Arial" w:hAnsi="Arial" w:hint="default"/>
      </w:rPr>
    </w:lvl>
    <w:lvl w:ilvl="5" w:tplc="39BAE3AC" w:tentative="1">
      <w:start w:val="1"/>
      <w:numFmt w:val="bullet"/>
      <w:lvlText w:val="•"/>
      <w:lvlJc w:val="left"/>
      <w:pPr>
        <w:tabs>
          <w:tab w:val="num" w:pos="4320"/>
        </w:tabs>
        <w:ind w:left="4320" w:hanging="360"/>
      </w:pPr>
      <w:rPr>
        <w:rFonts w:ascii="Arial" w:hAnsi="Arial" w:hint="default"/>
      </w:rPr>
    </w:lvl>
    <w:lvl w:ilvl="6" w:tplc="FFCA6D08" w:tentative="1">
      <w:start w:val="1"/>
      <w:numFmt w:val="bullet"/>
      <w:lvlText w:val="•"/>
      <w:lvlJc w:val="left"/>
      <w:pPr>
        <w:tabs>
          <w:tab w:val="num" w:pos="5040"/>
        </w:tabs>
        <w:ind w:left="5040" w:hanging="360"/>
      </w:pPr>
      <w:rPr>
        <w:rFonts w:ascii="Arial" w:hAnsi="Arial" w:hint="default"/>
      </w:rPr>
    </w:lvl>
    <w:lvl w:ilvl="7" w:tplc="290C3A28" w:tentative="1">
      <w:start w:val="1"/>
      <w:numFmt w:val="bullet"/>
      <w:lvlText w:val="•"/>
      <w:lvlJc w:val="left"/>
      <w:pPr>
        <w:tabs>
          <w:tab w:val="num" w:pos="5760"/>
        </w:tabs>
        <w:ind w:left="5760" w:hanging="360"/>
      </w:pPr>
      <w:rPr>
        <w:rFonts w:ascii="Arial" w:hAnsi="Arial" w:hint="default"/>
      </w:rPr>
    </w:lvl>
    <w:lvl w:ilvl="8" w:tplc="8FD09C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A3447A"/>
    <w:multiLevelType w:val="hybridMultilevel"/>
    <w:tmpl w:val="9AB6AE14"/>
    <w:lvl w:ilvl="0" w:tplc="2CBC70E6">
      <w:numFmt w:val="bullet"/>
      <w:lvlText w:val=""/>
      <w:lvlJc w:val="left"/>
      <w:pPr>
        <w:ind w:left="1080" w:hanging="360"/>
      </w:pPr>
      <w:rPr>
        <w:rFonts w:ascii="Wingdings" w:eastAsiaTheme="minorHAnsi" w:hAnsi="Wingdings" w:cstheme="minorBidi"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1C73C36"/>
    <w:multiLevelType w:val="hybridMultilevel"/>
    <w:tmpl w:val="636E05CA"/>
    <w:lvl w:ilvl="0" w:tplc="83BADF0C">
      <w:start w:val="1"/>
      <w:numFmt w:val="bullet"/>
      <w:lvlText w:val="•"/>
      <w:lvlJc w:val="left"/>
      <w:pPr>
        <w:tabs>
          <w:tab w:val="num" w:pos="720"/>
        </w:tabs>
        <w:ind w:left="720" w:hanging="360"/>
      </w:pPr>
      <w:rPr>
        <w:rFonts w:ascii="Arial" w:hAnsi="Arial" w:hint="default"/>
      </w:rPr>
    </w:lvl>
    <w:lvl w:ilvl="1" w:tplc="62CCC2E2">
      <w:start w:val="115"/>
      <w:numFmt w:val="bullet"/>
      <w:lvlText w:val="–"/>
      <w:lvlJc w:val="left"/>
      <w:pPr>
        <w:tabs>
          <w:tab w:val="num" w:pos="1440"/>
        </w:tabs>
        <w:ind w:left="1440" w:hanging="360"/>
      </w:pPr>
      <w:rPr>
        <w:rFonts w:ascii="Arial" w:hAnsi="Arial" w:hint="default"/>
      </w:rPr>
    </w:lvl>
    <w:lvl w:ilvl="2" w:tplc="08C4C18E" w:tentative="1">
      <w:start w:val="1"/>
      <w:numFmt w:val="bullet"/>
      <w:lvlText w:val="•"/>
      <w:lvlJc w:val="left"/>
      <w:pPr>
        <w:tabs>
          <w:tab w:val="num" w:pos="2160"/>
        </w:tabs>
        <w:ind w:left="2160" w:hanging="360"/>
      </w:pPr>
      <w:rPr>
        <w:rFonts w:ascii="Arial" w:hAnsi="Arial" w:hint="default"/>
      </w:rPr>
    </w:lvl>
    <w:lvl w:ilvl="3" w:tplc="D722C61E" w:tentative="1">
      <w:start w:val="1"/>
      <w:numFmt w:val="bullet"/>
      <w:lvlText w:val="•"/>
      <w:lvlJc w:val="left"/>
      <w:pPr>
        <w:tabs>
          <w:tab w:val="num" w:pos="2880"/>
        </w:tabs>
        <w:ind w:left="2880" w:hanging="360"/>
      </w:pPr>
      <w:rPr>
        <w:rFonts w:ascii="Arial" w:hAnsi="Arial" w:hint="default"/>
      </w:rPr>
    </w:lvl>
    <w:lvl w:ilvl="4" w:tplc="0CAEB510" w:tentative="1">
      <w:start w:val="1"/>
      <w:numFmt w:val="bullet"/>
      <w:lvlText w:val="•"/>
      <w:lvlJc w:val="left"/>
      <w:pPr>
        <w:tabs>
          <w:tab w:val="num" w:pos="3600"/>
        </w:tabs>
        <w:ind w:left="3600" w:hanging="360"/>
      </w:pPr>
      <w:rPr>
        <w:rFonts w:ascii="Arial" w:hAnsi="Arial" w:hint="default"/>
      </w:rPr>
    </w:lvl>
    <w:lvl w:ilvl="5" w:tplc="BA7EF898" w:tentative="1">
      <w:start w:val="1"/>
      <w:numFmt w:val="bullet"/>
      <w:lvlText w:val="•"/>
      <w:lvlJc w:val="left"/>
      <w:pPr>
        <w:tabs>
          <w:tab w:val="num" w:pos="4320"/>
        </w:tabs>
        <w:ind w:left="4320" w:hanging="360"/>
      </w:pPr>
      <w:rPr>
        <w:rFonts w:ascii="Arial" w:hAnsi="Arial" w:hint="default"/>
      </w:rPr>
    </w:lvl>
    <w:lvl w:ilvl="6" w:tplc="6B40CD06" w:tentative="1">
      <w:start w:val="1"/>
      <w:numFmt w:val="bullet"/>
      <w:lvlText w:val="•"/>
      <w:lvlJc w:val="left"/>
      <w:pPr>
        <w:tabs>
          <w:tab w:val="num" w:pos="5040"/>
        </w:tabs>
        <w:ind w:left="5040" w:hanging="360"/>
      </w:pPr>
      <w:rPr>
        <w:rFonts w:ascii="Arial" w:hAnsi="Arial" w:hint="default"/>
      </w:rPr>
    </w:lvl>
    <w:lvl w:ilvl="7" w:tplc="144CE8B0" w:tentative="1">
      <w:start w:val="1"/>
      <w:numFmt w:val="bullet"/>
      <w:lvlText w:val="•"/>
      <w:lvlJc w:val="left"/>
      <w:pPr>
        <w:tabs>
          <w:tab w:val="num" w:pos="5760"/>
        </w:tabs>
        <w:ind w:left="5760" w:hanging="360"/>
      </w:pPr>
      <w:rPr>
        <w:rFonts w:ascii="Arial" w:hAnsi="Arial" w:hint="default"/>
      </w:rPr>
    </w:lvl>
    <w:lvl w:ilvl="8" w:tplc="3EA0E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4"/>
  </w:num>
  <w:num w:numId="4">
    <w:abstractNumId w:val="5"/>
  </w:num>
  <w:num w:numId="5">
    <w:abstractNumId w:val="16"/>
  </w:num>
  <w:num w:numId="6">
    <w:abstractNumId w:val="9"/>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9"/>
    <w:lvlOverride w:ilvl="0">
      <w:startOverride w:val="1"/>
    </w:lvlOverride>
  </w:num>
  <w:num w:numId="12">
    <w:abstractNumId w:val="13"/>
    <w:lvlOverride w:ilvl="0">
      <w:startOverride w:val="1"/>
    </w:lvlOverride>
  </w:num>
  <w:num w:numId="13">
    <w:abstractNumId w:val="9"/>
    <w:lvlOverride w:ilvl="0">
      <w:startOverride w:val="1"/>
    </w:lvlOverride>
  </w:num>
  <w:num w:numId="14">
    <w:abstractNumId w:val="13"/>
    <w:lvlOverride w:ilvl="0">
      <w:startOverride w:val="1"/>
    </w:lvlOverride>
  </w:num>
  <w:num w:numId="15">
    <w:abstractNumId w:val="18"/>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
  </w:num>
  <w:num w:numId="22">
    <w:abstractNumId w:val="10"/>
  </w:num>
  <w:num w:numId="23">
    <w:abstractNumId w:val="2"/>
  </w:num>
  <w:num w:numId="24">
    <w:abstractNumId w:val="11"/>
  </w:num>
  <w:num w:numId="25">
    <w:abstractNumId w:val="17"/>
  </w:num>
  <w:num w:numId="26">
    <w:abstractNumId w:val="7"/>
  </w:num>
  <w:num w:numId="27">
    <w:abstractNumId w:val="9"/>
    <w:lvlOverride w:ilvl="0">
      <w:startOverride w:val="1"/>
    </w:lvlOverride>
  </w:num>
  <w:num w:numId="28">
    <w:abstractNumId w:val="13"/>
    <w:lvlOverride w:ilvl="0">
      <w:startOverride w:val="1"/>
    </w:lvlOverride>
  </w:num>
  <w:num w:numId="29">
    <w:abstractNumId w:val="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12C"/>
    <w:rsid w:val="00032CC1"/>
    <w:rsid w:val="00044CB4"/>
    <w:rsid w:val="00081C24"/>
    <w:rsid w:val="0008612A"/>
    <w:rsid w:val="000B0056"/>
    <w:rsid w:val="000E3450"/>
    <w:rsid w:val="001745F8"/>
    <w:rsid w:val="001838CF"/>
    <w:rsid w:val="001A3BA4"/>
    <w:rsid w:val="001E1634"/>
    <w:rsid w:val="001E30F6"/>
    <w:rsid w:val="00235F5C"/>
    <w:rsid w:val="0026484B"/>
    <w:rsid w:val="0026781F"/>
    <w:rsid w:val="002879C1"/>
    <w:rsid w:val="00297D9B"/>
    <w:rsid w:val="002B4922"/>
    <w:rsid w:val="002C2D19"/>
    <w:rsid w:val="002D10FA"/>
    <w:rsid w:val="002D4C55"/>
    <w:rsid w:val="00320F10"/>
    <w:rsid w:val="00324C69"/>
    <w:rsid w:val="00325B64"/>
    <w:rsid w:val="00332A41"/>
    <w:rsid w:val="0036179F"/>
    <w:rsid w:val="003830C7"/>
    <w:rsid w:val="003B4C89"/>
    <w:rsid w:val="003B659E"/>
    <w:rsid w:val="003C2AF5"/>
    <w:rsid w:val="003E1372"/>
    <w:rsid w:val="00416892"/>
    <w:rsid w:val="00417770"/>
    <w:rsid w:val="0043172F"/>
    <w:rsid w:val="0043750A"/>
    <w:rsid w:val="0044356D"/>
    <w:rsid w:val="00456CE4"/>
    <w:rsid w:val="00472BF0"/>
    <w:rsid w:val="0048407C"/>
    <w:rsid w:val="004A4533"/>
    <w:rsid w:val="004B7469"/>
    <w:rsid w:val="004E5E66"/>
    <w:rsid w:val="00503B4D"/>
    <w:rsid w:val="00504EE9"/>
    <w:rsid w:val="005254E7"/>
    <w:rsid w:val="00531A5F"/>
    <w:rsid w:val="0053267F"/>
    <w:rsid w:val="00534CC1"/>
    <w:rsid w:val="0054442C"/>
    <w:rsid w:val="00550285"/>
    <w:rsid w:val="005541CC"/>
    <w:rsid w:val="00574E86"/>
    <w:rsid w:val="005836F8"/>
    <w:rsid w:val="005918FA"/>
    <w:rsid w:val="005C23A4"/>
    <w:rsid w:val="005D1CDF"/>
    <w:rsid w:val="005E0895"/>
    <w:rsid w:val="005E61A8"/>
    <w:rsid w:val="005F6419"/>
    <w:rsid w:val="00617400"/>
    <w:rsid w:val="00664950"/>
    <w:rsid w:val="006667BB"/>
    <w:rsid w:val="00683220"/>
    <w:rsid w:val="00687FA0"/>
    <w:rsid w:val="006B7010"/>
    <w:rsid w:val="006C3007"/>
    <w:rsid w:val="006E7CEA"/>
    <w:rsid w:val="00710A0A"/>
    <w:rsid w:val="007145FF"/>
    <w:rsid w:val="00751515"/>
    <w:rsid w:val="00762281"/>
    <w:rsid w:val="00763FA3"/>
    <w:rsid w:val="00785232"/>
    <w:rsid w:val="007954D7"/>
    <w:rsid w:val="007979D0"/>
    <w:rsid w:val="007A6E80"/>
    <w:rsid w:val="007C3ED0"/>
    <w:rsid w:val="0080526F"/>
    <w:rsid w:val="00806A76"/>
    <w:rsid w:val="0080762E"/>
    <w:rsid w:val="00811C9D"/>
    <w:rsid w:val="00815C99"/>
    <w:rsid w:val="00816C80"/>
    <w:rsid w:val="00841BCD"/>
    <w:rsid w:val="00851A8E"/>
    <w:rsid w:val="00875780"/>
    <w:rsid w:val="008826C1"/>
    <w:rsid w:val="00886BCA"/>
    <w:rsid w:val="00897882"/>
    <w:rsid w:val="008A6A5D"/>
    <w:rsid w:val="008B006D"/>
    <w:rsid w:val="008D695E"/>
    <w:rsid w:val="008F7981"/>
    <w:rsid w:val="0090091A"/>
    <w:rsid w:val="009042BD"/>
    <w:rsid w:val="0091794E"/>
    <w:rsid w:val="00920AA8"/>
    <w:rsid w:val="0094626C"/>
    <w:rsid w:val="00977E1D"/>
    <w:rsid w:val="009D0B5C"/>
    <w:rsid w:val="00A10FBD"/>
    <w:rsid w:val="00A121BF"/>
    <w:rsid w:val="00A22B78"/>
    <w:rsid w:val="00A25AE5"/>
    <w:rsid w:val="00A32F8C"/>
    <w:rsid w:val="00A37002"/>
    <w:rsid w:val="00AA1B0E"/>
    <w:rsid w:val="00AC5CA7"/>
    <w:rsid w:val="00AE305C"/>
    <w:rsid w:val="00AE56B1"/>
    <w:rsid w:val="00B43566"/>
    <w:rsid w:val="00B45B82"/>
    <w:rsid w:val="00B50318"/>
    <w:rsid w:val="00B73862"/>
    <w:rsid w:val="00BA6E48"/>
    <w:rsid w:val="00BC122C"/>
    <w:rsid w:val="00BC2FC4"/>
    <w:rsid w:val="00BD240C"/>
    <w:rsid w:val="00BF2218"/>
    <w:rsid w:val="00BF75A7"/>
    <w:rsid w:val="00C26989"/>
    <w:rsid w:val="00C957EA"/>
    <w:rsid w:val="00CA26FF"/>
    <w:rsid w:val="00CA5A58"/>
    <w:rsid w:val="00CD7492"/>
    <w:rsid w:val="00CE3A6B"/>
    <w:rsid w:val="00D00211"/>
    <w:rsid w:val="00D06309"/>
    <w:rsid w:val="00D351EA"/>
    <w:rsid w:val="00D43403"/>
    <w:rsid w:val="00D62E71"/>
    <w:rsid w:val="00D71BCE"/>
    <w:rsid w:val="00D740CA"/>
    <w:rsid w:val="00D752E2"/>
    <w:rsid w:val="00D85728"/>
    <w:rsid w:val="00DC52E1"/>
    <w:rsid w:val="00DD494C"/>
    <w:rsid w:val="00DD4F65"/>
    <w:rsid w:val="00DF2997"/>
    <w:rsid w:val="00E32383"/>
    <w:rsid w:val="00EA1689"/>
    <w:rsid w:val="00EA62CA"/>
    <w:rsid w:val="00EB5E12"/>
    <w:rsid w:val="00EC7BC3"/>
    <w:rsid w:val="00ED7600"/>
    <w:rsid w:val="00F068D5"/>
    <w:rsid w:val="00F1362C"/>
    <w:rsid w:val="00F64932"/>
    <w:rsid w:val="00F824F5"/>
    <w:rsid w:val="00F87AE4"/>
    <w:rsid w:val="00F92526"/>
    <w:rsid w:val="00FA3635"/>
    <w:rsid w:val="00FB2EA0"/>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E73F9"/>
  <w15:chartTrackingRefBased/>
  <w15:docId w15:val="{830CFB17-2348-46F7-B241-0D9D51A1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879C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0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AA8"/>
    <w:rPr>
      <w:rFonts w:ascii="Segoe UI" w:hAnsi="Segoe UI" w:cs="Segoe UI"/>
      <w:sz w:val="18"/>
      <w:szCs w:val="18"/>
    </w:rPr>
  </w:style>
  <w:style w:type="character" w:styleId="CommentReference">
    <w:name w:val="annotation reference"/>
    <w:basedOn w:val="DefaultParagraphFont"/>
    <w:uiPriority w:val="99"/>
    <w:semiHidden/>
    <w:unhideWhenUsed/>
    <w:rsid w:val="00320F10"/>
    <w:rPr>
      <w:sz w:val="16"/>
      <w:szCs w:val="16"/>
    </w:rPr>
  </w:style>
  <w:style w:type="paragraph" w:styleId="CommentText">
    <w:name w:val="annotation text"/>
    <w:basedOn w:val="Normal"/>
    <w:link w:val="CommentTextChar"/>
    <w:uiPriority w:val="99"/>
    <w:semiHidden/>
    <w:unhideWhenUsed/>
    <w:rsid w:val="00320F10"/>
    <w:pPr>
      <w:spacing w:line="240" w:lineRule="auto"/>
    </w:pPr>
    <w:rPr>
      <w:szCs w:val="20"/>
    </w:rPr>
  </w:style>
  <w:style w:type="character" w:customStyle="1" w:styleId="CommentTextChar">
    <w:name w:val="Comment Text Char"/>
    <w:basedOn w:val="DefaultParagraphFont"/>
    <w:link w:val="CommentText"/>
    <w:uiPriority w:val="99"/>
    <w:semiHidden/>
    <w:rsid w:val="00320F1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20F10"/>
    <w:rPr>
      <w:b/>
      <w:bCs/>
    </w:rPr>
  </w:style>
  <w:style w:type="character" w:customStyle="1" w:styleId="CommentSubjectChar">
    <w:name w:val="Comment Subject Char"/>
    <w:basedOn w:val="CommentTextChar"/>
    <w:link w:val="CommentSubject"/>
    <w:uiPriority w:val="99"/>
    <w:semiHidden/>
    <w:rsid w:val="00320F10"/>
    <w:rPr>
      <w:rFonts w:ascii="Times New Roman" w:hAnsi="Times New Roman"/>
      <w:b/>
      <w:bCs/>
      <w:sz w:val="20"/>
      <w:szCs w:val="20"/>
    </w:rPr>
  </w:style>
  <w:style w:type="character" w:customStyle="1" w:styleId="Heading5Char">
    <w:name w:val="Heading 5 Char"/>
    <w:basedOn w:val="DefaultParagraphFont"/>
    <w:link w:val="Heading5"/>
    <w:uiPriority w:val="9"/>
    <w:semiHidden/>
    <w:rsid w:val="002879C1"/>
    <w:rPr>
      <w:rFonts w:asciiTheme="majorHAnsi" w:eastAsiaTheme="majorEastAsia" w:hAnsiTheme="majorHAnsi" w:cstheme="majorBidi"/>
      <w:color w:val="2F5496" w:themeColor="accent1" w:themeShade="BF"/>
      <w:sz w:val="20"/>
    </w:rPr>
  </w:style>
  <w:style w:type="character" w:styleId="UnresolvedMention">
    <w:name w:val="Unresolved Mention"/>
    <w:basedOn w:val="DefaultParagraphFont"/>
    <w:uiPriority w:val="99"/>
    <w:semiHidden/>
    <w:unhideWhenUsed/>
    <w:rsid w:val="003830C7"/>
    <w:rPr>
      <w:color w:val="605E5C"/>
      <w:shd w:val="clear" w:color="auto" w:fill="E1DFDD"/>
    </w:rPr>
  </w:style>
  <w:style w:type="character" w:styleId="FollowedHyperlink">
    <w:name w:val="FollowedHyperlink"/>
    <w:basedOn w:val="DefaultParagraphFont"/>
    <w:uiPriority w:val="99"/>
    <w:semiHidden/>
    <w:unhideWhenUsed/>
    <w:rsid w:val="003830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301">
      <w:bodyDiv w:val="1"/>
      <w:marLeft w:val="0"/>
      <w:marRight w:val="0"/>
      <w:marTop w:val="0"/>
      <w:marBottom w:val="0"/>
      <w:divBdr>
        <w:top w:val="none" w:sz="0" w:space="0" w:color="auto"/>
        <w:left w:val="none" w:sz="0" w:space="0" w:color="auto"/>
        <w:bottom w:val="none" w:sz="0" w:space="0" w:color="auto"/>
        <w:right w:val="none" w:sz="0" w:space="0" w:color="auto"/>
      </w:divBdr>
    </w:div>
    <w:div w:id="63265349">
      <w:bodyDiv w:val="1"/>
      <w:marLeft w:val="0"/>
      <w:marRight w:val="0"/>
      <w:marTop w:val="0"/>
      <w:marBottom w:val="0"/>
      <w:divBdr>
        <w:top w:val="none" w:sz="0" w:space="0" w:color="auto"/>
        <w:left w:val="none" w:sz="0" w:space="0" w:color="auto"/>
        <w:bottom w:val="none" w:sz="0" w:space="0" w:color="auto"/>
        <w:right w:val="none" w:sz="0" w:space="0" w:color="auto"/>
      </w:divBdr>
      <w:divsChild>
        <w:div w:id="186917227">
          <w:marLeft w:val="547"/>
          <w:marRight w:val="0"/>
          <w:marTop w:val="130"/>
          <w:marBottom w:val="0"/>
          <w:divBdr>
            <w:top w:val="none" w:sz="0" w:space="0" w:color="auto"/>
            <w:left w:val="none" w:sz="0" w:space="0" w:color="auto"/>
            <w:bottom w:val="none" w:sz="0" w:space="0" w:color="auto"/>
            <w:right w:val="none" w:sz="0" w:space="0" w:color="auto"/>
          </w:divBdr>
        </w:div>
        <w:div w:id="1314410083">
          <w:marLeft w:val="1166"/>
          <w:marRight w:val="0"/>
          <w:marTop w:val="86"/>
          <w:marBottom w:val="0"/>
          <w:divBdr>
            <w:top w:val="none" w:sz="0" w:space="0" w:color="auto"/>
            <w:left w:val="none" w:sz="0" w:space="0" w:color="auto"/>
            <w:bottom w:val="none" w:sz="0" w:space="0" w:color="auto"/>
            <w:right w:val="none" w:sz="0" w:space="0" w:color="auto"/>
          </w:divBdr>
        </w:div>
        <w:div w:id="1529027350">
          <w:marLeft w:val="1166"/>
          <w:marRight w:val="0"/>
          <w:marTop w:val="86"/>
          <w:marBottom w:val="0"/>
          <w:divBdr>
            <w:top w:val="none" w:sz="0" w:space="0" w:color="auto"/>
            <w:left w:val="none" w:sz="0" w:space="0" w:color="auto"/>
            <w:bottom w:val="none" w:sz="0" w:space="0" w:color="auto"/>
            <w:right w:val="none" w:sz="0" w:space="0" w:color="auto"/>
          </w:divBdr>
        </w:div>
        <w:div w:id="1823354773">
          <w:marLeft w:val="1166"/>
          <w:marRight w:val="0"/>
          <w:marTop w:val="86"/>
          <w:marBottom w:val="0"/>
          <w:divBdr>
            <w:top w:val="none" w:sz="0" w:space="0" w:color="auto"/>
            <w:left w:val="none" w:sz="0" w:space="0" w:color="auto"/>
            <w:bottom w:val="none" w:sz="0" w:space="0" w:color="auto"/>
            <w:right w:val="none" w:sz="0" w:space="0" w:color="auto"/>
          </w:divBdr>
        </w:div>
        <w:div w:id="2144075948">
          <w:marLeft w:val="1166"/>
          <w:marRight w:val="0"/>
          <w:marTop w:val="86"/>
          <w:marBottom w:val="0"/>
          <w:divBdr>
            <w:top w:val="none" w:sz="0" w:space="0" w:color="auto"/>
            <w:left w:val="none" w:sz="0" w:space="0" w:color="auto"/>
            <w:bottom w:val="none" w:sz="0" w:space="0" w:color="auto"/>
            <w:right w:val="none" w:sz="0" w:space="0" w:color="auto"/>
          </w:divBdr>
        </w:div>
      </w:divsChild>
    </w:div>
    <w:div w:id="304746291">
      <w:bodyDiv w:val="1"/>
      <w:marLeft w:val="0"/>
      <w:marRight w:val="0"/>
      <w:marTop w:val="0"/>
      <w:marBottom w:val="0"/>
      <w:divBdr>
        <w:top w:val="none" w:sz="0" w:space="0" w:color="auto"/>
        <w:left w:val="none" w:sz="0" w:space="0" w:color="auto"/>
        <w:bottom w:val="none" w:sz="0" w:space="0" w:color="auto"/>
        <w:right w:val="none" w:sz="0" w:space="0" w:color="auto"/>
      </w:divBdr>
      <w:divsChild>
        <w:div w:id="618220466">
          <w:marLeft w:val="1166"/>
          <w:marRight w:val="0"/>
          <w:marTop w:val="134"/>
          <w:marBottom w:val="0"/>
          <w:divBdr>
            <w:top w:val="none" w:sz="0" w:space="0" w:color="auto"/>
            <w:left w:val="none" w:sz="0" w:space="0" w:color="auto"/>
            <w:bottom w:val="none" w:sz="0" w:space="0" w:color="auto"/>
            <w:right w:val="none" w:sz="0" w:space="0" w:color="auto"/>
          </w:divBdr>
        </w:div>
        <w:div w:id="1322153888">
          <w:marLeft w:val="547"/>
          <w:marRight w:val="0"/>
          <w:marTop w:val="154"/>
          <w:marBottom w:val="0"/>
          <w:divBdr>
            <w:top w:val="none" w:sz="0" w:space="0" w:color="auto"/>
            <w:left w:val="none" w:sz="0" w:space="0" w:color="auto"/>
            <w:bottom w:val="none" w:sz="0" w:space="0" w:color="auto"/>
            <w:right w:val="none" w:sz="0" w:space="0" w:color="auto"/>
          </w:divBdr>
        </w:div>
      </w:divsChild>
    </w:div>
    <w:div w:id="657807759">
      <w:bodyDiv w:val="1"/>
      <w:marLeft w:val="0"/>
      <w:marRight w:val="0"/>
      <w:marTop w:val="0"/>
      <w:marBottom w:val="0"/>
      <w:divBdr>
        <w:top w:val="none" w:sz="0" w:space="0" w:color="auto"/>
        <w:left w:val="none" w:sz="0" w:space="0" w:color="auto"/>
        <w:bottom w:val="none" w:sz="0" w:space="0" w:color="auto"/>
        <w:right w:val="none" w:sz="0" w:space="0" w:color="auto"/>
      </w:divBdr>
    </w:div>
    <w:div w:id="700932180">
      <w:bodyDiv w:val="1"/>
      <w:marLeft w:val="0"/>
      <w:marRight w:val="0"/>
      <w:marTop w:val="0"/>
      <w:marBottom w:val="0"/>
      <w:divBdr>
        <w:top w:val="none" w:sz="0" w:space="0" w:color="auto"/>
        <w:left w:val="none" w:sz="0" w:space="0" w:color="auto"/>
        <w:bottom w:val="none" w:sz="0" w:space="0" w:color="auto"/>
        <w:right w:val="none" w:sz="0" w:space="0" w:color="auto"/>
      </w:divBdr>
    </w:div>
    <w:div w:id="814103394">
      <w:bodyDiv w:val="1"/>
      <w:marLeft w:val="0"/>
      <w:marRight w:val="0"/>
      <w:marTop w:val="0"/>
      <w:marBottom w:val="0"/>
      <w:divBdr>
        <w:top w:val="none" w:sz="0" w:space="0" w:color="auto"/>
        <w:left w:val="none" w:sz="0" w:space="0" w:color="auto"/>
        <w:bottom w:val="none" w:sz="0" w:space="0" w:color="auto"/>
        <w:right w:val="none" w:sz="0" w:space="0" w:color="auto"/>
      </w:divBdr>
      <w:divsChild>
        <w:div w:id="475488551">
          <w:marLeft w:val="1440"/>
          <w:marRight w:val="0"/>
          <w:marTop w:val="110"/>
          <w:marBottom w:val="0"/>
          <w:divBdr>
            <w:top w:val="none" w:sz="0" w:space="0" w:color="auto"/>
            <w:left w:val="none" w:sz="0" w:space="0" w:color="auto"/>
            <w:bottom w:val="none" w:sz="0" w:space="0" w:color="auto"/>
            <w:right w:val="none" w:sz="0" w:space="0" w:color="auto"/>
          </w:divBdr>
        </w:div>
        <w:div w:id="1374231078">
          <w:marLeft w:val="1440"/>
          <w:marRight w:val="0"/>
          <w:marTop w:val="110"/>
          <w:marBottom w:val="0"/>
          <w:divBdr>
            <w:top w:val="none" w:sz="0" w:space="0" w:color="auto"/>
            <w:left w:val="none" w:sz="0" w:space="0" w:color="auto"/>
            <w:bottom w:val="none" w:sz="0" w:space="0" w:color="auto"/>
            <w:right w:val="none" w:sz="0" w:space="0" w:color="auto"/>
          </w:divBdr>
        </w:div>
        <w:div w:id="1659920846">
          <w:marLeft w:val="547"/>
          <w:marRight w:val="0"/>
          <w:marTop w:val="130"/>
          <w:marBottom w:val="0"/>
          <w:divBdr>
            <w:top w:val="none" w:sz="0" w:space="0" w:color="auto"/>
            <w:left w:val="none" w:sz="0" w:space="0" w:color="auto"/>
            <w:bottom w:val="none" w:sz="0" w:space="0" w:color="auto"/>
            <w:right w:val="none" w:sz="0" w:space="0" w:color="auto"/>
          </w:divBdr>
        </w:div>
        <w:div w:id="1815221984">
          <w:marLeft w:val="1440"/>
          <w:marRight w:val="0"/>
          <w:marTop w:val="110"/>
          <w:marBottom w:val="0"/>
          <w:divBdr>
            <w:top w:val="none" w:sz="0" w:space="0" w:color="auto"/>
            <w:left w:val="none" w:sz="0" w:space="0" w:color="auto"/>
            <w:bottom w:val="none" w:sz="0" w:space="0" w:color="auto"/>
            <w:right w:val="none" w:sz="0" w:space="0" w:color="auto"/>
          </w:divBdr>
        </w:div>
      </w:divsChild>
    </w:div>
    <w:div w:id="965281551">
      <w:bodyDiv w:val="1"/>
      <w:marLeft w:val="0"/>
      <w:marRight w:val="0"/>
      <w:marTop w:val="0"/>
      <w:marBottom w:val="0"/>
      <w:divBdr>
        <w:top w:val="none" w:sz="0" w:space="0" w:color="auto"/>
        <w:left w:val="none" w:sz="0" w:space="0" w:color="auto"/>
        <w:bottom w:val="none" w:sz="0" w:space="0" w:color="auto"/>
        <w:right w:val="none" w:sz="0" w:space="0" w:color="auto"/>
      </w:divBdr>
    </w:div>
    <w:div w:id="967315588">
      <w:bodyDiv w:val="1"/>
      <w:marLeft w:val="0"/>
      <w:marRight w:val="0"/>
      <w:marTop w:val="0"/>
      <w:marBottom w:val="0"/>
      <w:divBdr>
        <w:top w:val="none" w:sz="0" w:space="0" w:color="auto"/>
        <w:left w:val="none" w:sz="0" w:space="0" w:color="auto"/>
        <w:bottom w:val="none" w:sz="0" w:space="0" w:color="auto"/>
        <w:right w:val="none" w:sz="0" w:space="0" w:color="auto"/>
      </w:divBdr>
    </w:div>
    <w:div w:id="1549681603">
      <w:bodyDiv w:val="1"/>
      <w:marLeft w:val="0"/>
      <w:marRight w:val="0"/>
      <w:marTop w:val="0"/>
      <w:marBottom w:val="0"/>
      <w:divBdr>
        <w:top w:val="none" w:sz="0" w:space="0" w:color="auto"/>
        <w:left w:val="none" w:sz="0" w:space="0" w:color="auto"/>
        <w:bottom w:val="none" w:sz="0" w:space="0" w:color="auto"/>
        <w:right w:val="none" w:sz="0" w:space="0" w:color="auto"/>
      </w:divBdr>
      <w:divsChild>
        <w:div w:id="130445285">
          <w:marLeft w:val="1166"/>
          <w:marRight w:val="0"/>
          <w:marTop w:val="86"/>
          <w:marBottom w:val="0"/>
          <w:divBdr>
            <w:top w:val="none" w:sz="0" w:space="0" w:color="auto"/>
            <w:left w:val="none" w:sz="0" w:space="0" w:color="auto"/>
            <w:bottom w:val="none" w:sz="0" w:space="0" w:color="auto"/>
            <w:right w:val="none" w:sz="0" w:space="0" w:color="auto"/>
          </w:divBdr>
        </w:div>
        <w:div w:id="389378993">
          <w:marLeft w:val="1166"/>
          <w:marRight w:val="0"/>
          <w:marTop w:val="86"/>
          <w:marBottom w:val="0"/>
          <w:divBdr>
            <w:top w:val="none" w:sz="0" w:space="0" w:color="auto"/>
            <w:left w:val="none" w:sz="0" w:space="0" w:color="auto"/>
            <w:bottom w:val="none" w:sz="0" w:space="0" w:color="auto"/>
            <w:right w:val="none" w:sz="0" w:space="0" w:color="auto"/>
          </w:divBdr>
        </w:div>
        <w:div w:id="519659649">
          <w:marLeft w:val="1166"/>
          <w:marRight w:val="0"/>
          <w:marTop w:val="86"/>
          <w:marBottom w:val="0"/>
          <w:divBdr>
            <w:top w:val="none" w:sz="0" w:space="0" w:color="auto"/>
            <w:left w:val="none" w:sz="0" w:space="0" w:color="auto"/>
            <w:bottom w:val="none" w:sz="0" w:space="0" w:color="auto"/>
            <w:right w:val="none" w:sz="0" w:space="0" w:color="auto"/>
          </w:divBdr>
        </w:div>
        <w:div w:id="1000352196">
          <w:marLeft w:val="547"/>
          <w:marRight w:val="0"/>
          <w:marTop w:val="130"/>
          <w:marBottom w:val="0"/>
          <w:divBdr>
            <w:top w:val="none" w:sz="0" w:space="0" w:color="auto"/>
            <w:left w:val="none" w:sz="0" w:space="0" w:color="auto"/>
            <w:bottom w:val="none" w:sz="0" w:space="0" w:color="auto"/>
            <w:right w:val="none" w:sz="0" w:space="0" w:color="auto"/>
          </w:divBdr>
        </w:div>
        <w:div w:id="1522084002">
          <w:marLeft w:val="1166"/>
          <w:marRight w:val="0"/>
          <w:marTop w:val="86"/>
          <w:marBottom w:val="0"/>
          <w:divBdr>
            <w:top w:val="none" w:sz="0" w:space="0" w:color="auto"/>
            <w:left w:val="none" w:sz="0" w:space="0" w:color="auto"/>
            <w:bottom w:val="none" w:sz="0" w:space="0" w:color="auto"/>
            <w:right w:val="none" w:sz="0" w:space="0" w:color="auto"/>
          </w:divBdr>
        </w:div>
      </w:divsChild>
    </w:div>
    <w:div w:id="1705254459">
      <w:bodyDiv w:val="1"/>
      <w:marLeft w:val="0"/>
      <w:marRight w:val="0"/>
      <w:marTop w:val="0"/>
      <w:marBottom w:val="0"/>
      <w:divBdr>
        <w:top w:val="none" w:sz="0" w:space="0" w:color="auto"/>
        <w:left w:val="none" w:sz="0" w:space="0" w:color="auto"/>
        <w:bottom w:val="none" w:sz="0" w:space="0" w:color="auto"/>
        <w:right w:val="none" w:sz="0" w:space="0" w:color="auto"/>
      </w:divBdr>
      <w:divsChild>
        <w:div w:id="44108024">
          <w:marLeft w:val="1800"/>
          <w:marRight w:val="0"/>
          <w:marTop w:val="82"/>
          <w:marBottom w:val="0"/>
          <w:divBdr>
            <w:top w:val="none" w:sz="0" w:space="0" w:color="auto"/>
            <w:left w:val="none" w:sz="0" w:space="0" w:color="auto"/>
            <w:bottom w:val="none" w:sz="0" w:space="0" w:color="auto"/>
            <w:right w:val="none" w:sz="0" w:space="0" w:color="auto"/>
          </w:divBdr>
        </w:div>
        <w:div w:id="157422886">
          <w:marLeft w:val="1166"/>
          <w:marRight w:val="0"/>
          <w:marTop w:val="96"/>
          <w:marBottom w:val="0"/>
          <w:divBdr>
            <w:top w:val="none" w:sz="0" w:space="0" w:color="auto"/>
            <w:left w:val="none" w:sz="0" w:space="0" w:color="auto"/>
            <w:bottom w:val="none" w:sz="0" w:space="0" w:color="auto"/>
            <w:right w:val="none" w:sz="0" w:space="0" w:color="auto"/>
          </w:divBdr>
        </w:div>
        <w:div w:id="438112934">
          <w:marLeft w:val="547"/>
          <w:marRight w:val="0"/>
          <w:marTop w:val="106"/>
          <w:marBottom w:val="0"/>
          <w:divBdr>
            <w:top w:val="none" w:sz="0" w:space="0" w:color="auto"/>
            <w:left w:val="none" w:sz="0" w:space="0" w:color="auto"/>
            <w:bottom w:val="none" w:sz="0" w:space="0" w:color="auto"/>
            <w:right w:val="none" w:sz="0" w:space="0" w:color="auto"/>
          </w:divBdr>
        </w:div>
        <w:div w:id="595019319">
          <w:marLeft w:val="1800"/>
          <w:marRight w:val="0"/>
          <w:marTop w:val="82"/>
          <w:marBottom w:val="0"/>
          <w:divBdr>
            <w:top w:val="none" w:sz="0" w:space="0" w:color="auto"/>
            <w:left w:val="none" w:sz="0" w:space="0" w:color="auto"/>
            <w:bottom w:val="none" w:sz="0" w:space="0" w:color="auto"/>
            <w:right w:val="none" w:sz="0" w:space="0" w:color="auto"/>
          </w:divBdr>
        </w:div>
        <w:div w:id="1294409776">
          <w:marLeft w:val="547"/>
          <w:marRight w:val="0"/>
          <w:marTop w:val="106"/>
          <w:marBottom w:val="0"/>
          <w:divBdr>
            <w:top w:val="none" w:sz="0" w:space="0" w:color="auto"/>
            <w:left w:val="none" w:sz="0" w:space="0" w:color="auto"/>
            <w:bottom w:val="none" w:sz="0" w:space="0" w:color="auto"/>
            <w:right w:val="none" w:sz="0" w:space="0" w:color="auto"/>
          </w:divBdr>
        </w:div>
        <w:div w:id="1807357971">
          <w:marLeft w:val="1166"/>
          <w:marRight w:val="0"/>
          <w:marTop w:val="96"/>
          <w:marBottom w:val="0"/>
          <w:divBdr>
            <w:top w:val="none" w:sz="0" w:space="0" w:color="auto"/>
            <w:left w:val="none" w:sz="0" w:space="0" w:color="auto"/>
            <w:bottom w:val="none" w:sz="0" w:space="0" w:color="auto"/>
            <w:right w:val="none" w:sz="0" w:space="0" w:color="auto"/>
          </w:divBdr>
        </w:div>
        <w:div w:id="2065445609">
          <w:marLeft w:val="1800"/>
          <w:marRight w:val="0"/>
          <w:marTop w:val="82"/>
          <w:marBottom w:val="0"/>
          <w:divBdr>
            <w:top w:val="none" w:sz="0" w:space="0" w:color="auto"/>
            <w:left w:val="none" w:sz="0" w:space="0" w:color="auto"/>
            <w:bottom w:val="none" w:sz="0" w:space="0" w:color="auto"/>
            <w:right w:val="none" w:sz="0" w:space="0" w:color="auto"/>
          </w:divBdr>
        </w:div>
        <w:div w:id="2129350010">
          <w:marLeft w:val="1166"/>
          <w:marRight w:val="0"/>
          <w:marTop w:val="96"/>
          <w:marBottom w:val="0"/>
          <w:divBdr>
            <w:top w:val="none" w:sz="0" w:space="0" w:color="auto"/>
            <w:left w:val="none" w:sz="0" w:space="0" w:color="auto"/>
            <w:bottom w:val="none" w:sz="0" w:space="0" w:color="auto"/>
            <w:right w:val="none" w:sz="0" w:space="0" w:color="auto"/>
          </w:divBdr>
        </w:div>
      </w:divsChild>
    </w:div>
    <w:div w:id="1950506759">
      <w:bodyDiv w:val="1"/>
      <w:marLeft w:val="0"/>
      <w:marRight w:val="0"/>
      <w:marTop w:val="0"/>
      <w:marBottom w:val="0"/>
      <w:divBdr>
        <w:top w:val="none" w:sz="0" w:space="0" w:color="auto"/>
        <w:left w:val="none" w:sz="0" w:space="0" w:color="auto"/>
        <w:bottom w:val="none" w:sz="0" w:space="0" w:color="auto"/>
        <w:right w:val="none" w:sz="0" w:space="0" w:color="auto"/>
      </w:divBdr>
      <w:divsChild>
        <w:div w:id="1243180104">
          <w:marLeft w:val="1166"/>
          <w:marRight w:val="0"/>
          <w:marTop w:val="110"/>
          <w:marBottom w:val="0"/>
          <w:divBdr>
            <w:top w:val="none" w:sz="0" w:space="0" w:color="auto"/>
            <w:left w:val="none" w:sz="0" w:space="0" w:color="auto"/>
            <w:bottom w:val="none" w:sz="0" w:space="0" w:color="auto"/>
            <w:right w:val="none" w:sz="0" w:space="0" w:color="auto"/>
          </w:divBdr>
        </w:div>
        <w:div w:id="1499810776">
          <w:marLeft w:val="547"/>
          <w:marRight w:val="0"/>
          <w:marTop w:val="130"/>
          <w:marBottom w:val="0"/>
          <w:divBdr>
            <w:top w:val="none" w:sz="0" w:space="0" w:color="auto"/>
            <w:left w:val="none" w:sz="0" w:space="0" w:color="auto"/>
            <w:bottom w:val="none" w:sz="0" w:space="0" w:color="auto"/>
            <w:right w:val="none" w:sz="0" w:space="0" w:color="auto"/>
          </w:divBdr>
        </w:div>
        <w:div w:id="1739472460">
          <w:marLeft w:val="1166"/>
          <w:marRight w:val="0"/>
          <w:marTop w:val="11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FF4F9-A1BB-4F0D-823C-CB92083A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4</cp:revision>
  <dcterms:created xsi:type="dcterms:W3CDTF">2019-06-27T05:00:00Z</dcterms:created>
  <dcterms:modified xsi:type="dcterms:W3CDTF">2019-08-16T12:16:00Z</dcterms:modified>
</cp:coreProperties>
</file>